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8F0BF" w14:textId="34DE06BF" w:rsidR="000009D8" w:rsidRPr="00490D0F" w:rsidRDefault="1B7C6D35">
      <w:pPr>
        <w:pStyle w:val="Body"/>
        <w:widowControl/>
        <w:jc w:val="center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b/>
          <w:bCs/>
          <w:lang w:val="es-ES"/>
        </w:rPr>
        <w:t>ARCHIVO ADJUNTO AA-2:</w:t>
      </w:r>
      <w:r w:rsidRPr="00490D0F">
        <w:rPr>
          <w:rFonts w:ascii="Calibri" w:hAnsi="Calibri"/>
          <w:lang w:val="es-ES"/>
        </w:rPr>
        <w:t xml:space="preserve"> </w:t>
      </w:r>
      <w:r w:rsidRPr="00490D0F">
        <w:rPr>
          <w:rFonts w:ascii="Calibri" w:hAnsi="Calibri"/>
          <w:lang w:val="es-ES"/>
        </w:rPr>
        <w:br/>
      </w:r>
      <w:r w:rsidRPr="00490D0F">
        <w:rPr>
          <w:rFonts w:ascii="Calibri" w:hAnsi="Calibri"/>
          <w:b/>
          <w:bCs/>
          <w:lang w:val="es-ES"/>
        </w:rPr>
        <w:t>Evaluación de solicitantes implicados por la justicia para viviendas financiadas y asistidas por la ciudad de Nueva York</w:t>
      </w:r>
    </w:p>
    <w:p w14:paraId="17C8C8EC" w14:textId="44B5AEA5" w:rsidR="000009D8" w:rsidRPr="00490D0F" w:rsidRDefault="00402355">
      <w:pPr>
        <w:pStyle w:val="Body"/>
        <w:widowControl/>
        <w:jc w:val="center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[COMPANY LETTERHEAD]</w:t>
      </w:r>
    </w:p>
    <w:p w14:paraId="0CD0D10A" w14:textId="77777777" w:rsidR="000009D8" w:rsidRPr="00490D0F" w:rsidRDefault="00402355">
      <w:pPr>
        <w:pStyle w:val="Body"/>
        <w:widowControl/>
        <w:jc w:val="center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[PHONE NUMBER]</w:t>
      </w:r>
    </w:p>
    <w:p w14:paraId="41F0352A" w14:textId="77777777" w:rsidR="000009D8" w:rsidRPr="00490D0F" w:rsidRDefault="00402355">
      <w:pPr>
        <w:pStyle w:val="Body"/>
        <w:widowControl/>
        <w:jc w:val="center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[EMAIL ADDRESS]</w:t>
      </w:r>
    </w:p>
    <w:p w14:paraId="37345F81" w14:textId="77777777" w:rsidR="000009D8" w:rsidRPr="00490D0F" w:rsidRDefault="00402355">
      <w:pPr>
        <w:pStyle w:val="Body"/>
        <w:widowControl/>
        <w:jc w:val="center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[FAX NUMBER]</w:t>
      </w:r>
    </w:p>
    <w:p w14:paraId="6F40AA22" w14:textId="77777777" w:rsidR="000009D8" w:rsidRPr="00490D0F" w:rsidRDefault="000009D8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</w:p>
    <w:p w14:paraId="1ECBC520" w14:textId="77777777" w:rsidR="000009D8" w:rsidRPr="00490D0F" w:rsidRDefault="00402355">
      <w:pPr>
        <w:pStyle w:val="Body"/>
        <w:widowControl/>
        <w:ind w:left="720" w:firstLine="5760"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 xml:space="preserve">Fecha: __________ </w:t>
      </w:r>
    </w:p>
    <w:p w14:paraId="0A563053" w14:textId="77777777" w:rsidR="000009D8" w:rsidRPr="00490D0F" w:rsidRDefault="00402355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 xml:space="preserve">[APPLICANT'S NAME AND ADDRESS] </w:t>
      </w:r>
      <w:r w:rsidRPr="00490D0F">
        <w:rPr>
          <w:rFonts w:ascii="Calibri" w:hAnsi="Calibri"/>
          <w:lang w:val="es-ES"/>
        </w:rPr>
        <w:tab/>
      </w:r>
      <w:r w:rsidRPr="00490D0F">
        <w:rPr>
          <w:rFonts w:ascii="Calibri" w:hAnsi="Calibri"/>
          <w:lang w:val="es-ES"/>
        </w:rPr>
        <w:tab/>
      </w:r>
      <w:r w:rsidRPr="00490D0F">
        <w:rPr>
          <w:rFonts w:ascii="Calibri" w:hAnsi="Calibri"/>
          <w:lang w:val="es-ES"/>
        </w:rPr>
        <w:tab/>
      </w:r>
      <w:r w:rsidRPr="00490D0F">
        <w:rPr>
          <w:rFonts w:ascii="Calibri" w:hAnsi="Calibri"/>
          <w:lang w:val="es-ES"/>
        </w:rPr>
        <w:tab/>
      </w:r>
      <w:r w:rsidRPr="00490D0F">
        <w:rPr>
          <w:rFonts w:ascii="Calibri" w:hAnsi="Calibri"/>
          <w:lang w:val="es-ES"/>
        </w:rPr>
        <w:tab/>
      </w:r>
    </w:p>
    <w:p w14:paraId="27888F82" w14:textId="706B9E96" w:rsidR="000009D8" w:rsidRPr="00490D0F" w:rsidRDefault="00402355" w:rsidP="00A313F9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eastAsia="Calibri" w:hAnsi="Calibri" w:cs="Calibri"/>
          <w:lang w:val="es-ES"/>
        </w:rPr>
        <w:tab/>
      </w:r>
      <w:r w:rsidRPr="00490D0F">
        <w:rPr>
          <w:rFonts w:ascii="Calibri" w:eastAsia="Calibri" w:hAnsi="Calibri" w:cs="Calibri"/>
          <w:lang w:val="es-ES"/>
        </w:rPr>
        <w:tab/>
      </w:r>
      <w:r w:rsidRPr="00490D0F">
        <w:rPr>
          <w:rFonts w:ascii="Calibri" w:eastAsia="Calibri" w:hAnsi="Calibri" w:cs="Calibri"/>
          <w:lang w:val="es-ES"/>
        </w:rPr>
        <w:tab/>
      </w:r>
      <w:r w:rsidRPr="00490D0F">
        <w:rPr>
          <w:rFonts w:ascii="Calibri" w:eastAsia="Calibri" w:hAnsi="Calibri" w:cs="Calibri"/>
          <w:lang w:val="es-ES"/>
        </w:rPr>
        <w:tab/>
      </w:r>
      <w:r w:rsidRPr="00490D0F">
        <w:rPr>
          <w:rFonts w:ascii="Calibri" w:eastAsia="Calibri" w:hAnsi="Calibri" w:cs="Calibri"/>
          <w:lang w:val="es-ES"/>
        </w:rPr>
        <w:tab/>
      </w:r>
      <w:r w:rsidRPr="00490D0F">
        <w:rPr>
          <w:rFonts w:ascii="Calibri" w:eastAsia="Calibri" w:hAnsi="Calibri" w:cs="Calibri"/>
          <w:lang w:val="es-ES"/>
        </w:rPr>
        <w:tab/>
      </w:r>
      <w:r w:rsidRPr="00490D0F">
        <w:rPr>
          <w:rFonts w:ascii="Calibri" w:eastAsia="Calibri" w:hAnsi="Calibri" w:cs="Calibri"/>
          <w:lang w:val="es-ES"/>
        </w:rPr>
        <w:tab/>
      </w:r>
      <w:r w:rsidRPr="00490D0F">
        <w:rPr>
          <w:rFonts w:ascii="Calibri" w:eastAsia="Calibri" w:hAnsi="Calibri" w:cs="Calibri"/>
          <w:lang w:val="es-ES"/>
        </w:rPr>
        <w:tab/>
      </w:r>
    </w:p>
    <w:p w14:paraId="3CF64046" w14:textId="77777777" w:rsidR="000009D8" w:rsidRPr="00490D0F" w:rsidRDefault="000009D8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</w:p>
    <w:p w14:paraId="4E0C934C" w14:textId="6BAFD3CE" w:rsidR="000009D8" w:rsidRPr="00490D0F" w:rsidRDefault="1B7C6D35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Asunto:</w:t>
      </w:r>
      <w:r w:rsidRPr="00490D0F">
        <w:rPr>
          <w:rFonts w:ascii="Calibri" w:hAnsi="Calibri"/>
          <w:lang w:val="es-ES"/>
        </w:rPr>
        <w:tab/>
      </w:r>
      <w:r w:rsidR="00A313F9" w:rsidRPr="00490D0F">
        <w:rPr>
          <w:rFonts w:ascii="Calibri" w:hAnsi="Calibri"/>
          <w:lang w:val="es-ES"/>
        </w:rPr>
        <w:tab/>
      </w:r>
      <w:r w:rsidRPr="00490D0F">
        <w:rPr>
          <w:rFonts w:ascii="Calibri" w:hAnsi="Calibri"/>
          <w:lang w:val="es-ES"/>
        </w:rPr>
        <w:t>[PROJECT NAME]</w:t>
      </w:r>
    </w:p>
    <w:p w14:paraId="537BAA97" w14:textId="535D74A7" w:rsidR="000009D8" w:rsidRPr="00490D0F" w:rsidRDefault="00402355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eastAsia="Calibri" w:hAnsi="Calibri" w:cs="Calibri"/>
          <w:lang w:val="es-ES"/>
        </w:rPr>
        <w:tab/>
      </w:r>
      <w:r w:rsidR="00A313F9" w:rsidRPr="00490D0F">
        <w:rPr>
          <w:rFonts w:ascii="Calibri" w:eastAsia="Calibri" w:hAnsi="Calibri" w:cs="Calibri"/>
          <w:lang w:val="es-ES"/>
        </w:rPr>
        <w:tab/>
      </w:r>
      <w:r w:rsidRPr="00490D0F">
        <w:rPr>
          <w:rFonts w:ascii="Calibri" w:eastAsia="Calibri" w:hAnsi="Calibri" w:cs="Calibri"/>
          <w:lang w:val="es-ES"/>
        </w:rPr>
        <w:t xml:space="preserve">N.º de </w:t>
      </w:r>
      <w:proofErr w:type="gramStart"/>
      <w:r w:rsidRPr="00490D0F">
        <w:rPr>
          <w:rFonts w:ascii="Calibri" w:eastAsia="Calibri" w:hAnsi="Calibri" w:cs="Calibri"/>
          <w:lang w:val="es-ES"/>
        </w:rPr>
        <w:t>registro:_</w:t>
      </w:r>
      <w:proofErr w:type="gramEnd"/>
      <w:r w:rsidRPr="00490D0F">
        <w:rPr>
          <w:rFonts w:ascii="Calibri" w:eastAsia="Calibri" w:hAnsi="Calibri" w:cs="Calibri"/>
          <w:lang w:val="es-ES"/>
        </w:rPr>
        <w:t>_______</w:t>
      </w:r>
    </w:p>
    <w:p w14:paraId="4A4C56D8" w14:textId="77777777" w:rsidR="000009D8" w:rsidRPr="00490D0F" w:rsidRDefault="000009D8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</w:p>
    <w:p w14:paraId="6DAC7D33" w14:textId="77777777" w:rsidR="000009D8" w:rsidRPr="00490D0F" w:rsidRDefault="00402355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Estimado solicitante:</w:t>
      </w:r>
    </w:p>
    <w:p w14:paraId="0D4BFA7A" w14:textId="77777777" w:rsidR="000009D8" w:rsidRPr="00490D0F" w:rsidRDefault="000009D8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</w:p>
    <w:p w14:paraId="36D4D1FE" w14:textId="4985AD81" w:rsidR="000009D8" w:rsidRPr="00490D0F" w:rsidRDefault="1B7C6D35" w:rsidP="00A313F9">
      <w:pPr>
        <w:pStyle w:val="Body"/>
        <w:widowControl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Recibimos su solicitud de residencia para el proyecto indicado arriba. Las siguientes condenas aparecieron en su expediente en una verificación de antecedentes y pueden considerarse en su elegibilidad para la vivienda:</w:t>
      </w:r>
    </w:p>
    <w:p w14:paraId="1D88D58B" w14:textId="77777777" w:rsidR="000009D8" w:rsidRPr="00490D0F" w:rsidRDefault="000009D8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</w:p>
    <w:p w14:paraId="2574E7ED" w14:textId="77777777" w:rsidR="000009D8" w:rsidRPr="00490D0F" w:rsidRDefault="1B7C6D35">
      <w:pPr>
        <w:pStyle w:val="Body"/>
        <w:widowControl/>
        <w:numPr>
          <w:ilvl w:val="0"/>
          <w:numId w:val="1"/>
        </w:numPr>
        <w:jc w:val="both"/>
        <w:rPr>
          <w:rFonts w:ascii="Calibri" w:hAnsi="Calibri"/>
          <w:b/>
          <w:bCs/>
          <w:lang w:val="es-ES"/>
        </w:rPr>
      </w:pPr>
      <w:r w:rsidRPr="00490D0F">
        <w:rPr>
          <w:rFonts w:ascii="Calibri" w:hAnsi="Calibri"/>
          <w:highlight w:val="yellow"/>
          <w:lang w:val="es-ES"/>
        </w:rPr>
        <w:t>LIST CONVICTION RECORD(S), INCLUDING CASE #, CHARGE, AND DATE OF CONVICTION</w:t>
      </w:r>
    </w:p>
    <w:p w14:paraId="10F22BF1" w14:textId="77777777" w:rsidR="000009D8" w:rsidRPr="00490D0F" w:rsidRDefault="000009D8">
      <w:pPr>
        <w:pStyle w:val="Body"/>
        <w:widowControl/>
        <w:ind w:left="720"/>
        <w:jc w:val="both"/>
        <w:rPr>
          <w:rFonts w:ascii="Calibri" w:eastAsia="Calibri" w:hAnsi="Calibri" w:cs="Calibri"/>
          <w:lang w:val="es-ES"/>
        </w:rPr>
      </w:pPr>
    </w:p>
    <w:p w14:paraId="358C82E9" w14:textId="6597B205" w:rsidR="000009D8" w:rsidRPr="00490D0F" w:rsidRDefault="1B7C6D35" w:rsidP="00A313F9">
      <w:pPr>
        <w:pStyle w:val="Body"/>
        <w:widowControl/>
        <w:jc w:val="both"/>
        <w:rPr>
          <w:rFonts w:ascii="Calibri" w:eastAsia="Calibri" w:hAnsi="Calibri" w:cs="Calibri"/>
          <w:b/>
          <w:bCs/>
          <w:lang w:val="es-ES"/>
        </w:rPr>
      </w:pPr>
      <w:r w:rsidRPr="00490D0F">
        <w:rPr>
          <w:rFonts w:ascii="Calibri" w:hAnsi="Calibri"/>
          <w:b/>
          <w:bCs/>
          <w:lang w:val="es-ES"/>
        </w:rPr>
        <w:t xml:space="preserve">Tiene la oportunidad de dar una explicación de las circunstancias relacionadas con su condena o documentación de apoyo que muestre evidencia de rehabilitación para poder continuar con su solicitud. Debe comunicarse con esta oficina dentro de los diez (10) días hábiles. Envíe su documentación a nuestra oficina mediante Housing </w:t>
      </w:r>
      <w:proofErr w:type="spellStart"/>
      <w:r w:rsidRPr="00490D0F">
        <w:rPr>
          <w:rFonts w:ascii="Calibri" w:hAnsi="Calibri"/>
          <w:b/>
          <w:bCs/>
          <w:lang w:val="es-ES"/>
        </w:rPr>
        <w:t>Connect</w:t>
      </w:r>
      <w:proofErr w:type="spellEnd"/>
      <w:r w:rsidRPr="00490D0F">
        <w:rPr>
          <w:rFonts w:ascii="Calibri" w:hAnsi="Calibri"/>
          <w:b/>
          <w:bCs/>
          <w:lang w:val="es-ES"/>
        </w:rPr>
        <w:t xml:space="preserve">, o a la información </w:t>
      </w:r>
      <w:r w:rsidRPr="00490D0F">
        <w:rPr>
          <w:rFonts w:ascii="Calibri" w:hAnsi="Calibri"/>
          <w:b/>
          <w:bCs/>
          <w:highlight w:val="yellow"/>
          <w:lang w:val="es-ES"/>
        </w:rPr>
        <w:t>[EMAIL / MAIL / FAX]</w:t>
      </w:r>
      <w:r w:rsidRPr="00490D0F">
        <w:rPr>
          <w:rFonts w:ascii="Calibri" w:hAnsi="Calibri"/>
          <w:b/>
          <w:bCs/>
          <w:lang w:val="es-ES"/>
        </w:rPr>
        <w:t xml:space="preserve"> de abajo, o llame al </w:t>
      </w:r>
      <w:r w:rsidRPr="00490D0F">
        <w:rPr>
          <w:rFonts w:ascii="Calibri" w:hAnsi="Calibri"/>
          <w:b/>
          <w:bCs/>
          <w:highlight w:val="yellow"/>
          <w:lang w:val="es-ES"/>
        </w:rPr>
        <w:t>[PHONE NUMBER]</w:t>
      </w:r>
      <w:r w:rsidRPr="00490D0F">
        <w:rPr>
          <w:rFonts w:ascii="Calibri" w:hAnsi="Calibri"/>
          <w:b/>
          <w:bCs/>
          <w:lang w:val="es-ES"/>
        </w:rPr>
        <w:t xml:space="preserve"> para programar una cita en persona o virtual.</w:t>
      </w:r>
    </w:p>
    <w:p w14:paraId="6A86ED9F" w14:textId="77777777" w:rsidR="000009D8" w:rsidRPr="00490D0F" w:rsidRDefault="000009D8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</w:p>
    <w:p w14:paraId="5556E9D1" w14:textId="77777777" w:rsidR="000009D8" w:rsidRPr="00490D0F" w:rsidRDefault="00402355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Los ejemplos de evidencia que puede presentar pueden incluir, entre otros:</w:t>
      </w:r>
    </w:p>
    <w:p w14:paraId="6117C716" w14:textId="77777777" w:rsidR="0038358E" w:rsidRDefault="0038358E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val="es-ES"/>
        </w:rPr>
      </w:pPr>
      <w:r w:rsidRPr="0038358E">
        <w:rPr>
          <w:rFonts w:ascii="Calibri" w:hAnsi="Calibri"/>
          <w:lang w:val="es-ES"/>
        </w:rPr>
        <w:t>Certificado de Alivio de Incapacidades o Certificado de Buena Conducta</w:t>
      </w:r>
    </w:p>
    <w:p w14:paraId="0254D6D7" w14:textId="10F34E84" w:rsidR="000009D8" w:rsidRPr="00490D0F" w:rsidRDefault="1B7C6D3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val="es-ES"/>
        </w:rPr>
      </w:pPr>
      <w:r w:rsidRPr="00490D0F">
        <w:rPr>
          <w:rFonts w:ascii="Calibri" w:hAnsi="Calibri"/>
          <w:lang w:val="es-ES"/>
        </w:rPr>
        <w:t>Evidencia de inscripción o finalización del tratamiento por condiciones que pueden haber contribuido a un comportamiento delictivo anterior</w:t>
      </w:r>
      <w:r w:rsidR="00526CDA" w:rsidRPr="00490D0F">
        <w:rPr>
          <w:rFonts w:ascii="Calibri" w:hAnsi="Calibri"/>
          <w:lang w:val="es-ES"/>
        </w:rPr>
        <w:t>.</w:t>
      </w:r>
    </w:p>
    <w:p w14:paraId="0BC29667" w14:textId="72CFC79A" w:rsidR="000009D8" w:rsidRPr="00490D0F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val="es-ES"/>
        </w:rPr>
      </w:pPr>
      <w:r w:rsidRPr="00490D0F">
        <w:rPr>
          <w:rFonts w:ascii="Calibri" w:hAnsi="Calibri"/>
          <w:lang w:val="es-ES"/>
        </w:rPr>
        <w:t>Evidencia de programas de rehabilitación, como programas vocacionales, educativos, de trabajo o de terapia durante o después del encarcelamiento</w:t>
      </w:r>
      <w:r w:rsidR="00526CDA" w:rsidRPr="00490D0F">
        <w:rPr>
          <w:rFonts w:ascii="Calibri" w:hAnsi="Calibri"/>
          <w:lang w:val="es-ES"/>
        </w:rPr>
        <w:t>.</w:t>
      </w:r>
    </w:p>
    <w:p w14:paraId="4310ABE9" w14:textId="28295063" w:rsidR="000009D8" w:rsidRPr="00490D0F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val="es-ES"/>
        </w:rPr>
      </w:pPr>
      <w:r w:rsidRPr="00490D0F">
        <w:rPr>
          <w:rFonts w:ascii="Calibri" w:hAnsi="Calibri"/>
          <w:lang w:val="es-ES"/>
        </w:rPr>
        <w:t>Situación laboral y antecedentes desde la condena o liberación del encarcelamiento</w:t>
      </w:r>
      <w:r w:rsidR="00526CDA" w:rsidRPr="00490D0F">
        <w:rPr>
          <w:rFonts w:ascii="Calibri" w:hAnsi="Calibri"/>
          <w:lang w:val="es-ES"/>
        </w:rPr>
        <w:t>.</w:t>
      </w:r>
    </w:p>
    <w:p w14:paraId="719FE6D8" w14:textId="53FDBFF4" w:rsidR="000009D8" w:rsidRPr="00490D0F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val="es-ES"/>
        </w:rPr>
      </w:pPr>
      <w:r w:rsidRPr="00490D0F">
        <w:rPr>
          <w:rFonts w:ascii="Calibri" w:hAnsi="Calibri"/>
          <w:lang w:val="es-ES"/>
        </w:rPr>
        <w:t>Trabajo voluntario o actividades de participación de la comunidad</w:t>
      </w:r>
      <w:r w:rsidR="00526CDA" w:rsidRPr="00490D0F">
        <w:rPr>
          <w:rFonts w:ascii="Calibri" w:hAnsi="Calibri"/>
          <w:lang w:val="es-ES"/>
        </w:rPr>
        <w:t>.</w:t>
      </w:r>
      <w:r w:rsidRPr="00490D0F">
        <w:rPr>
          <w:rFonts w:ascii="Calibri" w:hAnsi="Calibri"/>
          <w:lang w:val="es-ES"/>
        </w:rPr>
        <w:t xml:space="preserve"> </w:t>
      </w:r>
    </w:p>
    <w:p w14:paraId="1E67DBE4" w14:textId="77777777" w:rsidR="000009D8" w:rsidRPr="00490D0F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val="es-ES"/>
        </w:rPr>
      </w:pPr>
      <w:r w:rsidRPr="00490D0F">
        <w:rPr>
          <w:rFonts w:ascii="Calibri" w:hAnsi="Calibri"/>
          <w:lang w:val="es-ES"/>
        </w:rPr>
        <w:t>Cartas de recomendación de miembros de la comunidad incluyendo, entre otros: clérigos, supervisores de libertad condicional, educadores, empleadores, vecinos y otros residentes de la comunidad local, propietarios, etc.</w:t>
      </w:r>
    </w:p>
    <w:p w14:paraId="116B7134" w14:textId="77777777" w:rsidR="000009D8" w:rsidRPr="00490D0F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val="es-ES"/>
        </w:rPr>
      </w:pPr>
      <w:r w:rsidRPr="00490D0F">
        <w:rPr>
          <w:rFonts w:ascii="Calibri" w:hAnsi="Calibri"/>
          <w:lang w:val="es-ES"/>
        </w:rPr>
        <w:t xml:space="preserve">Otros factores relevantes, incluyendo un texto que explique las circunstancias en las que se cometió el delito y lo que ocurrió desde entonces. </w:t>
      </w:r>
    </w:p>
    <w:p w14:paraId="61E29448" w14:textId="77777777" w:rsidR="000009D8" w:rsidRPr="00490D0F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val="es-ES"/>
        </w:rPr>
      </w:pPr>
      <w:r w:rsidRPr="00490D0F">
        <w:rPr>
          <w:rFonts w:ascii="Calibri" w:hAnsi="Calibri"/>
          <w:lang w:val="es-ES"/>
        </w:rPr>
        <w:t>Si sus antecedentes judiciales son el resultado directo de que usted u otra persona de la solicitud haya sido víctima de violencia doméstica, violencia en el noviazgo, agresión sexual o acoso, consulte el Aviso de derechos en virtud de la Ley sobre la Violencia contra las Mujeres (</w:t>
      </w:r>
      <w:proofErr w:type="spellStart"/>
      <w:r w:rsidRPr="00490D0F">
        <w:rPr>
          <w:rFonts w:ascii="Calibri" w:hAnsi="Calibri"/>
          <w:lang w:val="es-ES"/>
        </w:rPr>
        <w:t>Violence</w:t>
      </w:r>
      <w:proofErr w:type="spellEnd"/>
      <w:r w:rsidRPr="00490D0F">
        <w:rPr>
          <w:rFonts w:ascii="Calibri" w:hAnsi="Calibri"/>
          <w:lang w:val="es-ES"/>
        </w:rPr>
        <w:t xml:space="preserve"> </w:t>
      </w:r>
      <w:proofErr w:type="spellStart"/>
      <w:r w:rsidRPr="00490D0F">
        <w:rPr>
          <w:rFonts w:ascii="Calibri" w:hAnsi="Calibri"/>
          <w:lang w:val="es-ES"/>
        </w:rPr>
        <w:t>Against</w:t>
      </w:r>
      <w:proofErr w:type="spellEnd"/>
      <w:r w:rsidRPr="00490D0F">
        <w:rPr>
          <w:rFonts w:ascii="Calibri" w:hAnsi="Calibri"/>
          <w:lang w:val="es-ES"/>
        </w:rPr>
        <w:t xml:space="preserve"> </w:t>
      </w:r>
      <w:proofErr w:type="spellStart"/>
      <w:r w:rsidRPr="00490D0F">
        <w:rPr>
          <w:rFonts w:ascii="Calibri" w:hAnsi="Calibri"/>
          <w:lang w:val="es-ES"/>
        </w:rPr>
        <w:t>Women</w:t>
      </w:r>
      <w:proofErr w:type="spellEnd"/>
      <w:r w:rsidRPr="00490D0F">
        <w:rPr>
          <w:rFonts w:ascii="Calibri" w:hAnsi="Calibri"/>
          <w:lang w:val="es-ES"/>
        </w:rPr>
        <w:t xml:space="preserve"> </w:t>
      </w:r>
      <w:proofErr w:type="spellStart"/>
      <w:r w:rsidRPr="00490D0F">
        <w:rPr>
          <w:rFonts w:ascii="Calibri" w:hAnsi="Calibri"/>
          <w:lang w:val="es-ES"/>
        </w:rPr>
        <w:t>Act</w:t>
      </w:r>
      <w:proofErr w:type="spellEnd"/>
      <w:r w:rsidRPr="00490D0F">
        <w:rPr>
          <w:rFonts w:ascii="Calibri" w:hAnsi="Calibri"/>
          <w:lang w:val="es-ES"/>
        </w:rPr>
        <w:t>), que se adjunta.</w:t>
      </w:r>
    </w:p>
    <w:p w14:paraId="4C5F776E" w14:textId="77777777" w:rsidR="000009D8" w:rsidRPr="00490D0F" w:rsidRDefault="000009D8">
      <w:pPr>
        <w:pStyle w:val="Body"/>
        <w:widowControl/>
        <w:jc w:val="both"/>
        <w:rPr>
          <w:rFonts w:ascii="Calibri" w:eastAsia="Calibri" w:hAnsi="Calibri" w:cs="Calibri"/>
          <w:lang w:val="es-ES"/>
        </w:rPr>
      </w:pPr>
    </w:p>
    <w:p w14:paraId="057598AC" w14:textId="77777777" w:rsidR="000009D8" w:rsidRPr="00490D0F" w:rsidRDefault="000009D8">
      <w:pPr>
        <w:pStyle w:val="Body"/>
        <w:widowControl/>
        <w:ind w:left="720"/>
        <w:jc w:val="both"/>
        <w:rPr>
          <w:rFonts w:ascii="Calibri" w:eastAsia="Calibri" w:hAnsi="Calibri" w:cs="Calibri"/>
          <w:lang w:val="es-ES"/>
        </w:rPr>
      </w:pPr>
    </w:p>
    <w:p w14:paraId="0B6EAC92" w14:textId="77777777" w:rsidR="000009D8" w:rsidRPr="00490D0F" w:rsidRDefault="00402355">
      <w:pPr>
        <w:pStyle w:val="Body"/>
        <w:widowControl/>
        <w:ind w:firstLine="5760"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lastRenderedPageBreak/>
        <w:t>Atentamente,</w:t>
      </w:r>
    </w:p>
    <w:p w14:paraId="2FDF055A" w14:textId="77777777" w:rsidR="000009D8" w:rsidRPr="00490D0F" w:rsidRDefault="000009D8">
      <w:pPr>
        <w:pStyle w:val="Body"/>
        <w:widowControl/>
        <w:rPr>
          <w:rFonts w:ascii="Calibri" w:eastAsia="Calibri" w:hAnsi="Calibri" w:cs="Calibri"/>
          <w:lang w:val="es-ES"/>
        </w:rPr>
      </w:pPr>
    </w:p>
    <w:p w14:paraId="19DD1CE6" w14:textId="77777777" w:rsidR="000009D8" w:rsidRPr="00490D0F" w:rsidRDefault="00402355">
      <w:pPr>
        <w:pStyle w:val="Body"/>
        <w:widowControl/>
        <w:ind w:left="5760"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[NAME]</w:t>
      </w:r>
    </w:p>
    <w:p w14:paraId="52AA56CE" w14:textId="77777777" w:rsidR="000009D8" w:rsidRPr="00490D0F" w:rsidRDefault="00402355">
      <w:pPr>
        <w:pStyle w:val="Body"/>
        <w:widowControl/>
        <w:ind w:left="5760"/>
        <w:jc w:val="both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Propietario/Gerente</w:t>
      </w:r>
    </w:p>
    <w:p w14:paraId="6BD0FFF7" w14:textId="77777777" w:rsidR="000009D8" w:rsidRPr="00490D0F" w:rsidRDefault="000009D8">
      <w:pPr>
        <w:pStyle w:val="Body"/>
        <w:widowControl/>
        <w:ind w:left="5760"/>
        <w:jc w:val="both"/>
        <w:rPr>
          <w:rFonts w:ascii="Calibri" w:eastAsia="Calibri" w:hAnsi="Calibri" w:cs="Calibri"/>
          <w:lang w:val="es-ES"/>
        </w:rPr>
      </w:pPr>
    </w:p>
    <w:p w14:paraId="4BF88C7C" w14:textId="77777777" w:rsidR="000009D8" w:rsidRPr="00490D0F" w:rsidRDefault="00402355">
      <w:pPr>
        <w:pStyle w:val="Body"/>
        <w:widowControl/>
        <w:jc w:val="center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[INSERT EMAIL ADDRESS]</w:t>
      </w:r>
      <w:proofErr w:type="gramStart"/>
      <w:r w:rsidRPr="00490D0F">
        <w:rPr>
          <w:rFonts w:ascii="Calibri" w:hAnsi="Calibri"/>
          <w:lang w:val="es-ES"/>
        </w:rPr>
        <w:t xml:space="preserve">   [</w:t>
      </w:r>
      <w:proofErr w:type="gramEnd"/>
      <w:r w:rsidRPr="00490D0F">
        <w:rPr>
          <w:rFonts w:ascii="Calibri" w:hAnsi="Calibri"/>
          <w:lang w:val="es-ES"/>
        </w:rPr>
        <w:t>INSERT PHONE NUMBER]   [INSERT FAX NUMBER]</w:t>
      </w:r>
    </w:p>
    <w:p w14:paraId="19323E4D" w14:textId="77777777" w:rsidR="000009D8" w:rsidRPr="00490D0F" w:rsidRDefault="000009D8">
      <w:pPr>
        <w:pStyle w:val="Body"/>
        <w:rPr>
          <w:rFonts w:ascii="Calibri" w:eastAsia="Calibri" w:hAnsi="Calibri" w:cs="Calibri"/>
          <w:b/>
          <w:bCs/>
          <w:color w:val="FF0000"/>
          <w:u w:color="FF0000"/>
          <w:lang w:val="es-ES"/>
        </w:rPr>
      </w:pPr>
    </w:p>
    <w:p w14:paraId="378CCDDD" w14:textId="77777777" w:rsidR="000009D8" w:rsidRPr="00490D0F" w:rsidRDefault="00402355">
      <w:pPr>
        <w:pStyle w:val="Body"/>
        <w:jc w:val="center"/>
        <w:rPr>
          <w:rFonts w:ascii="Calibri" w:eastAsia="Calibri" w:hAnsi="Calibri" w:cs="Calibri"/>
          <w:b/>
          <w:bCs/>
          <w:lang w:val="es-ES"/>
        </w:rPr>
      </w:pPr>
      <w:r w:rsidRPr="00490D0F">
        <w:rPr>
          <w:rFonts w:ascii="Calibri" w:hAnsi="Calibri"/>
          <w:b/>
          <w:bCs/>
          <w:lang w:val="es-ES"/>
        </w:rPr>
        <w:t xml:space="preserve">[INSERT ENGLISH HOUSEHOLD SIZE AND INCOME CHART BELOW OR ATTACH AD] </w:t>
      </w:r>
    </w:p>
    <w:p w14:paraId="2FC27279" w14:textId="77777777" w:rsidR="000009D8" w:rsidRPr="00490D0F" w:rsidRDefault="00402355">
      <w:pPr>
        <w:pStyle w:val="Body"/>
        <w:jc w:val="center"/>
        <w:rPr>
          <w:rFonts w:ascii="Calibri" w:eastAsia="Calibri" w:hAnsi="Calibri" w:cs="Calibri"/>
          <w:b/>
          <w:bCs/>
          <w:lang w:val="es-ES"/>
        </w:rPr>
      </w:pPr>
      <w:r w:rsidRPr="00490D0F">
        <w:rPr>
          <w:rFonts w:ascii="Calibri" w:eastAsia="Calibri" w:hAnsi="Calibri" w:cs="Calibri"/>
          <w:b/>
          <w:bCs/>
          <w:lang w:val="es-ES"/>
        </w:rPr>
        <w:br/>
      </w:r>
    </w:p>
    <w:p w14:paraId="51AE67F8" w14:textId="77777777" w:rsidR="000009D8" w:rsidRPr="00490D0F" w:rsidRDefault="00402355">
      <w:pPr>
        <w:pStyle w:val="Body"/>
        <w:spacing w:line="276" w:lineRule="auto"/>
        <w:rPr>
          <w:rFonts w:ascii="Calibri" w:eastAsia="Calibri" w:hAnsi="Calibri" w:cs="Calibri"/>
          <w:lang w:val="es-ES"/>
        </w:rPr>
      </w:pPr>
      <w:r w:rsidRPr="00490D0F">
        <w:rPr>
          <w:rFonts w:ascii="Calibri" w:hAnsi="Calibri"/>
          <w:lang w:val="es-ES"/>
        </w:rPr>
        <w:t>Si tiene preguntas adicionales sobre el proceso de solicitud de vivienda o sobre las apelaciones, comuníquese con:</w:t>
      </w:r>
    </w:p>
    <w:p w14:paraId="04E5AE78" w14:textId="25A75E4C" w:rsidR="000009D8" w:rsidRPr="00490D0F" w:rsidRDefault="00402355" w:rsidP="00A313F9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/>
          <w:b/>
          <w:bCs/>
          <w:lang w:val="es-ES"/>
        </w:rPr>
      </w:pPr>
      <w:r w:rsidRPr="00490D0F">
        <w:rPr>
          <w:rFonts w:ascii="Calibri" w:hAnsi="Calibri"/>
          <w:lang w:val="es-ES"/>
        </w:rPr>
        <w:t xml:space="preserve">Unidades comercializadas por el HPD: Línea de ayuda para solicitantes del HPD, </w:t>
      </w:r>
      <w:r w:rsidR="00A313F9" w:rsidRPr="00490D0F">
        <w:rPr>
          <w:rFonts w:ascii="Calibri" w:hAnsi="Calibri"/>
          <w:lang w:val="es-ES"/>
        </w:rPr>
        <w:br/>
      </w:r>
      <w:r w:rsidRPr="00490D0F">
        <w:rPr>
          <w:rFonts w:ascii="Calibri" w:hAnsi="Calibri"/>
          <w:lang w:val="es-ES"/>
        </w:rPr>
        <w:t>212-863-7990</w:t>
      </w:r>
    </w:p>
    <w:p w14:paraId="7A62E3F1" w14:textId="20D94C39" w:rsidR="000009D8" w:rsidRPr="00490D0F" w:rsidRDefault="00402355" w:rsidP="00A313F9">
      <w:pPr>
        <w:pStyle w:val="ListParagraph"/>
        <w:numPr>
          <w:ilvl w:val="0"/>
          <w:numId w:val="4"/>
        </w:numPr>
        <w:rPr>
          <w:rFonts w:ascii="Calibri" w:hAnsi="Calibri"/>
          <w:b/>
          <w:bCs/>
          <w:lang w:val="es-ES"/>
        </w:rPr>
      </w:pPr>
      <w:r w:rsidRPr="00490D0F">
        <w:rPr>
          <w:rFonts w:ascii="Calibri" w:hAnsi="Calibri"/>
          <w:lang w:val="es-ES"/>
        </w:rPr>
        <w:t xml:space="preserve">Unidades comercializadas por la HDC: Línea de ayuda de cumplimiento de la HDC, </w:t>
      </w:r>
      <w:r w:rsidR="00A313F9" w:rsidRPr="00490D0F">
        <w:rPr>
          <w:rFonts w:ascii="Calibri" w:hAnsi="Calibri"/>
          <w:lang w:val="es-ES"/>
        </w:rPr>
        <w:br/>
      </w:r>
      <w:r w:rsidRPr="00490D0F">
        <w:rPr>
          <w:rFonts w:ascii="Calibri" w:hAnsi="Calibri"/>
          <w:lang w:val="es-ES"/>
        </w:rPr>
        <w:t>212-227-6411</w:t>
      </w:r>
    </w:p>
    <w:p w14:paraId="3ECF9727" w14:textId="77777777" w:rsidR="000009D8" w:rsidRPr="00490D0F" w:rsidRDefault="000009D8">
      <w:pPr>
        <w:pStyle w:val="Body"/>
        <w:spacing w:line="276" w:lineRule="auto"/>
        <w:jc w:val="center"/>
        <w:rPr>
          <w:rFonts w:ascii="Calibri" w:eastAsia="Calibri" w:hAnsi="Calibri" w:cs="Calibri"/>
          <w:u w:val="single"/>
          <w:lang w:val="es-ES"/>
        </w:rPr>
      </w:pPr>
    </w:p>
    <w:p w14:paraId="2B69C0E2" w14:textId="77777777" w:rsidR="00F45667" w:rsidRPr="00044F78" w:rsidRDefault="00F45667" w:rsidP="00F45667">
      <w:pPr>
        <w:pBdr>
          <w:top w:val="single" w:sz="4" w:space="1" w:color="auto"/>
        </w:pBdr>
        <w:spacing w:line="276" w:lineRule="auto"/>
        <w:jc w:val="center"/>
        <w:rPr>
          <w:rFonts w:ascii="Helvetica" w:hAnsi="Helvetica" w:cstheme="minorHAnsi"/>
          <w:sz w:val="20"/>
          <w:szCs w:val="22"/>
          <w:u w:val="single"/>
        </w:rPr>
      </w:pPr>
      <w:r w:rsidRPr="00AF6137">
        <w:rPr>
          <w:rFonts w:ascii="Helvetica" w:hAnsi="Helvetica" w:cstheme="minorHAnsi"/>
          <w:sz w:val="20"/>
          <w:szCs w:val="22"/>
          <w:u w:val="single"/>
        </w:rPr>
        <w:t>[INSERT PAGE BREAK]</w:t>
      </w:r>
    </w:p>
    <w:p w14:paraId="13195E78" w14:textId="77777777" w:rsidR="00F45667" w:rsidRDefault="00F45667" w:rsidP="00F45667">
      <w:pPr>
        <w:rPr>
          <w:rFonts w:ascii="Helvetica" w:hAnsi="Helvetica" w:cs="Calibri"/>
          <w:b/>
          <w:bCs/>
          <w:sz w:val="20"/>
          <w:szCs w:val="20"/>
        </w:rPr>
      </w:pPr>
    </w:p>
    <w:p w14:paraId="4F49D631" w14:textId="77777777" w:rsidR="00F45667" w:rsidRPr="00D61FE9" w:rsidRDefault="00F45667" w:rsidP="00F45667">
      <w:pPr>
        <w:pBdr>
          <w:top w:val="single" w:sz="4" w:space="1" w:color="auto"/>
        </w:pBdr>
        <w:spacing w:line="276" w:lineRule="auto"/>
        <w:rPr>
          <w:rFonts w:ascii="Helvetica" w:hAnsi="Helvetica" w:cs="Calibri"/>
          <w:bCs/>
          <w:sz w:val="20"/>
          <w:szCs w:val="22"/>
        </w:rPr>
      </w:pPr>
    </w:p>
    <w:p w14:paraId="5EAB0345" w14:textId="77777777" w:rsidR="00F45667" w:rsidRPr="0088264C" w:rsidRDefault="00F45667" w:rsidP="00F45667">
      <w:pPr>
        <w:pBdr>
          <w:top w:val="single" w:sz="4" w:space="1" w:color="auto"/>
        </w:pBdr>
        <w:spacing w:line="276" w:lineRule="auto"/>
        <w:jc w:val="center"/>
        <w:rPr>
          <w:rFonts w:ascii="Helvetica" w:hAnsi="Helvetica" w:cstheme="minorHAnsi"/>
          <w:sz w:val="19"/>
          <w:szCs w:val="19"/>
          <w:lang w:val="es-AR"/>
        </w:rPr>
      </w:pPr>
      <w:r w:rsidRPr="0088264C">
        <w:rPr>
          <w:rFonts w:ascii="Helvetica" w:hAnsi="Helvetica" w:cstheme="minorHAnsi"/>
          <w:sz w:val="19"/>
          <w:szCs w:val="19"/>
          <w:lang w:val="es-US"/>
        </w:rPr>
        <w:t>Departamento de Preservación y Desarrollo de Vivienda (</w:t>
      </w:r>
      <w:proofErr w:type="spellStart"/>
      <w:r w:rsidRPr="0088264C">
        <w:rPr>
          <w:rFonts w:ascii="Helvetica" w:hAnsi="Helvetica" w:cstheme="minorHAnsi"/>
          <w:sz w:val="19"/>
          <w:szCs w:val="19"/>
          <w:lang w:val="es-US"/>
        </w:rPr>
        <w:t>Department</w:t>
      </w:r>
      <w:proofErr w:type="spellEnd"/>
      <w:r w:rsidRPr="0088264C">
        <w:rPr>
          <w:rFonts w:ascii="Helvetica" w:hAnsi="Helvetica" w:cstheme="minorHAnsi"/>
          <w:sz w:val="19"/>
          <w:szCs w:val="19"/>
          <w:lang w:val="es-US"/>
        </w:rPr>
        <w:t xml:space="preserve"> </w:t>
      </w:r>
      <w:proofErr w:type="spellStart"/>
      <w:r w:rsidRPr="0088264C">
        <w:rPr>
          <w:rFonts w:ascii="Helvetica" w:hAnsi="Helvetica" w:cstheme="minorHAnsi"/>
          <w:sz w:val="19"/>
          <w:szCs w:val="19"/>
          <w:lang w:val="es-US"/>
        </w:rPr>
        <w:t>of</w:t>
      </w:r>
      <w:proofErr w:type="spellEnd"/>
      <w:r w:rsidRPr="0088264C">
        <w:rPr>
          <w:rFonts w:ascii="Helvetica" w:hAnsi="Helvetica" w:cstheme="minorHAnsi"/>
          <w:sz w:val="19"/>
          <w:szCs w:val="19"/>
          <w:lang w:val="es-US"/>
        </w:rPr>
        <w:t xml:space="preserve"> Housing </w:t>
      </w:r>
      <w:proofErr w:type="spellStart"/>
      <w:r w:rsidRPr="0088264C">
        <w:rPr>
          <w:rFonts w:ascii="Helvetica" w:hAnsi="Helvetica" w:cstheme="minorHAnsi"/>
          <w:sz w:val="19"/>
          <w:szCs w:val="19"/>
          <w:lang w:val="es-US"/>
        </w:rPr>
        <w:t>Preservation</w:t>
      </w:r>
      <w:proofErr w:type="spellEnd"/>
      <w:r w:rsidRPr="0088264C">
        <w:rPr>
          <w:rFonts w:ascii="Helvetica" w:hAnsi="Helvetica" w:cstheme="minorHAnsi"/>
          <w:sz w:val="19"/>
          <w:szCs w:val="19"/>
          <w:lang w:val="es-US"/>
        </w:rPr>
        <w:t xml:space="preserve"> &amp; </w:t>
      </w:r>
      <w:proofErr w:type="spellStart"/>
      <w:r w:rsidRPr="0088264C">
        <w:rPr>
          <w:rFonts w:ascii="Helvetica" w:hAnsi="Helvetica" w:cstheme="minorHAnsi"/>
          <w:sz w:val="19"/>
          <w:szCs w:val="19"/>
          <w:lang w:val="es-US"/>
        </w:rPr>
        <w:t>Development</w:t>
      </w:r>
      <w:proofErr w:type="spellEnd"/>
      <w:r w:rsidRPr="0088264C">
        <w:rPr>
          <w:rFonts w:ascii="Helvetica" w:hAnsi="Helvetica" w:cstheme="minorHAnsi"/>
          <w:sz w:val="19"/>
          <w:szCs w:val="19"/>
          <w:lang w:val="es-US"/>
        </w:rPr>
        <w:t xml:space="preserve">, HPD) de la Ciudad de Nueva York y Corporación de Desarrollo de Vivienda </w:t>
      </w:r>
      <w:r>
        <w:rPr>
          <w:rFonts w:ascii="Helvetica" w:hAnsi="Helvetica" w:cstheme="minorHAnsi"/>
          <w:sz w:val="19"/>
          <w:szCs w:val="19"/>
          <w:lang w:val="es-US"/>
        </w:rPr>
        <w:br/>
      </w:r>
      <w:r w:rsidRPr="0088264C">
        <w:rPr>
          <w:rFonts w:ascii="Helvetica" w:hAnsi="Helvetica" w:cstheme="minorHAnsi"/>
          <w:sz w:val="19"/>
          <w:szCs w:val="19"/>
          <w:lang w:val="es-US"/>
        </w:rPr>
        <w:t xml:space="preserve">(Housing </w:t>
      </w:r>
      <w:proofErr w:type="spellStart"/>
      <w:r w:rsidRPr="0088264C">
        <w:rPr>
          <w:rFonts w:ascii="Helvetica" w:hAnsi="Helvetica" w:cstheme="minorHAnsi"/>
          <w:sz w:val="19"/>
          <w:szCs w:val="19"/>
          <w:lang w:val="es-US"/>
        </w:rPr>
        <w:t>Development</w:t>
      </w:r>
      <w:proofErr w:type="spellEnd"/>
      <w:r w:rsidRPr="0088264C">
        <w:rPr>
          <w:rFonts w:ascii="Helvetica" w:hAnsi="Helvetica" w:cstheme="minorHAnsi"/>
          <w:sz w:val="19"/>
          <w:szCs w:val="19"/>
          <w:lang w:val="es-US"/>
        </w:rPr>
        <w:t xml:space="preserve"> </w:t>
      </w:r>
      <w:proofErr w:type="spellStart"/>
      <w:r w:rsidRPr="0088264C">
        <w:rPr>
          <w:rFonts w:ascii="Helvetica" w:hAnsi="Helvetica" w:cstheme="minorHAnsi"/>
          <w:sz w:val="19"/>
          <w:szCs w:val="19"/>
          <w:lang w:val="es-US"/>
        </w:rPr>
        <w:t>Corporation</w:t>
      </w:r>
      <w:proofErr w:type="spellEnd"/>
      <w:r w:rsidRPr="0088264C">
        <w:rPr>
          <w:rFonts w:ascii="Helvetica" w:hAnsi="Helvetica" w:cstheme="minorHAnsi"/>
          <w:sz w:val="19"/>
          <w:szCs w:val="19"/>
          <w:lang w:val="es-US"/>
        </w:rPr>
        <w:t xml:space="preserve">, HDC) de la Ciudad de Nueva York </w:t>
      </w:r>
    </w:p>
    <w:p w14:paraId="61A9565D" w14:textId="77777777" w:rsidR="00F45667" w:rsidRPr="00596245" w:rsidRDefault="00F45667" w:rsidP="00F45667">
      <w:pPr>
        <w:spacing w:line="276" w:lineRule="auto"/>
        <w:jc w:val="center"/>
        <w:rPr>
          <w:rFonts w:ascii="Helvetica" w:hAnsi="Helvetica" w:cstheme="minorHAnsi"/>
          <w:b/>
          <w:sz w:val="19"/>
          <w:szCs w:val="19"/>
          <w:lang w:val="es-ES"/>
        </w:rPr>
      </w:pP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Aviso de derechos en virtud de la Ley de Violencia contra la Mujer (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Violence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Against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Women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Act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, VAWA) para solicitantes de vivienda</w:t>
      </w:r>
      <w:r w:rsidRPr="00F06F66">
        <w:rPr>
          <w:rStyle w:val="FootnoteReference"/>
          <w:rFonts w:ascii="Helvetica" w:hAnsi="Helvetica" w:cs="Calibri"/>
          <w:b/>
          <w:sz w:val="19"/>
          <w:szCs w:val="19"/>
          <w:vertAlign w:val="superscript"/>
        </w:rPr>
        <w:footnoteReference w:id="2"/>
      </w:r>
    </w:p>
    <w:p w14:paraId="386327FE" w14:textId="77777777" w:rsidR="00F45667" w:rsidRPr="00596245" w:rsidRDefault="00F45667" w:rsidP="00F45667">
      <w:pPr>
        <w:spacing w:line="276" w:lineRule="auto"/>
        <w:jc w:val="center"/>
        <w:rPr>
          <w:rFonts w:ascii="Helvetica" w:hAnsi="Helvetica" w:cs="Calibri"/>
          <w:b/>
          <w:sz w:val="19"/>
          <w:szCs w:val="19"/>
          <w:lang w:val="es-ES"/>
        </w:rPr>
      </w:pPr>
    </w:p>
    <w:p w14:paraId="4F021EED" w14:textId="77777777" w:rsidR="00F45667" w:rsidRPr="00596245" w:rsidRDefault="00F45667" w:rsidP="00F45667">
      <w:pPr>
        <w:spacing w:line="276" w:lineRule="auto"/>
        <w:rPr>
          <w:rFonts w:ascii="Helvetica" w:hAnsi="Helvetica" w:cs="Calibri"/>
          <w:sz w:val="19"/>
          <w:szCs w:val="19"/>
          <w:lang w:val="es-ES"/>
        </w:rPr>
      </w:pP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La Ley Federal de Violencia contra la Mujer protege a las víctimas de violencia doméstica, violencia de pareja, agresión sexual o acoso. Las protecciones en virtud de la ley VAWA no solo </w:t>
      </w:r>
      <w:r>
        <w:rPr>
          <w:rFonts w:ascii="Helvetica" w:hAnsi="Helvetica" w:cstheme="minorHAnsi"/>
          <w:sz w:val="19"/>
          <w:szCs w:val="19"/>
          <w:lang w:val="es-US"/>
        </w:rPr>
        <w:t>son</w:t>
      </w: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 para las mujeres, sino por igual para todas las personas independientemente de su sexo, identidad de género u orientación sexual.</w:t>
      </w:r>
      <w:r w:rsidRPr="00F06F66">
        <w:rPr>
          <w:rFonts w:ascii="Helvetica" w:hAnsi="Helvetica" w:cstheme="minorHAnsi"/>
          <w:sz w:val="19"/>
          <w:szCs w:val="19"/>
          <w:vertAlign w:val="superscript"/>
          <w:lang w:val="es-US"/>
        </w:rPr>
        <w:footnoteReference w:id="3"/>
      </w: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 </w:t>
      </w:r>
      <w:r w:rsidRPr="00596245">
        <w:rPr>
          <w:rFonts w:ascii="Helvetica" w:hAnsi="Helvetica" w:cs="Calibri"/>
          <w:sz w:val="19"/>
          <w:szCs w:val="19"/>
          <w:lang w:val="es-ES"/>
        </w:rPr>
        <w:t xml:space="preserve">Este aviso explica los derechos de los solicitantes en virtud de la ley VAWA y las responsabilidades del HPD y </w:t>
      </w:r>
      <w:r>
        <w:rPr>
          <w:rFonts w:ascii="Helvetica" w:hAnsi="Helvetica" w:cs="Calibri"/>
          <w:sz w:val="19"/>
          <w:szCs w:val="19"/>
          <w:lang w:val="es-ES"/>
        </w:rPr>
        <w:br/>
      </w:r>
      <w:r w:rsidRPr="00596245">
        <w:rPr>
          <w:rFonts w:ascii="Helvetica" w:hAnsi="Helvetica" w:cs="Calibri"/>
          <w:sz w:val="19"/>
          <w:szCs w:val="19"/>
          <w:lang w:val="es-ES"/>
        </w:rPr>
        <w:t xml:space="preserve">de la HDC (en conjunto, “las agencias”), y de cualquier agente de comercialización u otros representantes </w:t>
      </w:r>
      <w:r>
        <w:rPr>
          <w:rFonts w:ascii="Helvetica" w:hAnsi="Helvetica" w:cs="Calibri"/>
          <w:sz w:val="19"/>
          <w:szCs w:val="19"/>
          <w:lang w:val="es-ES"/>
        </w:rPr>
        <w:br/>
      </w:r>
      <w:r w:rsidRPr="00596245">
        <w:rPr>
          <w:rFonts w:ascii="Helvetica" w:hAnsi="Helvetica" w:cs="Calibri"/>
          <w:sz w:val="19"/>
          <w:szCs w:val="19"/>
          <w:lang w:val="es-ES"/>
        </w:rPr>
        <w:t xml:space="preserve">de propietarios que participen en su proceso de solicitud de unidades de vivienda comercializadas por el </w:t>
      </w:r>
      <w:r>
        <w:rPr>
          <w:rFonts w:ascii="Helvetica" w:hAnsi="Helvetica" w:cs="Calibri"/>
          <w:sz w:val="19"/>
          <w:szCs w:val="19"/>
          <w:lang w:val="es-ES"/>
        </w:rPr>
        <w:br/>
      </w:r>
      <w:r w:rsidRPr="00596245">
        <w:rPr>
          <w:rFonts w:ascii="Helvetica" w:hAnsi="Helvetica" w:cs="Calibri"/>
          <w:sz w:val="19"/>
          <w:szCs w:val="19"/>
          <w:lang w:val="es-ES"/>
        </w:rPr>
        <w:t xml:space="preserve">HPD/la HDC. </w:t>
      </w:r>
    </w:p>
    <w:p w14:paraId="1F695A45" w14:textId="77777777" w:rsidR="00F45667" w:rsidRPr="00596245" w:rsidRDefault="00F45667" w:rsidP="00F45667">
      <w:pPr>
        <w:spacing w:before="240" w:line="276" w:lineRule="auto"/>
        <w:rPr>
          <w:rFonts w:ascii="Helvetica" w:hAnsi="Helvetica" w:cs="Calibri"/>
          <w:b/>
          <w:sz w:val="19"/>
          <w:szCs w:val="19"/>
          <w:lang w:val="es-ES"/>
        </w:rPr>
      </w:pPr>
      <w:r w:rsidRPr="00F06F66">
        <w:rPr>
          <w:rFonts w:ascii="Helvetica" w:hAnsi="Helvetica" w:cs="Calibri"/>
          <w:b/>
          <w:bCs/>
          <w:sz w:val="19"/>
          <w:szCs w:val="19"/>
          <w:lang w:val="es-US"/>
        </w:rPr>
        <w:t>Protecciones para solicitantes: grupos familiares</w:t>
      </w:r>
    </w:p>
    <w:p w14:paraId="27B8B952" w14:textId="77777777" w:rsidR="00F45667" w:rsidRPr="00F06F66" w:rsidRDefault="00F45667" w:rsidP="00F45667">
      <w:pPr>
        <w:spacing w:line="276" w:lineRule="auto"/>
        <w:rPr>
          <w:rFonts w:ascii="Helvetica" w:hAnsi="Helvetica" w:cs="Calibri"/>
          <w:sz w:val="19"/>
          <w:szCs w:val="19"/>
          <w:lang w:val="es-US"/>
        </w:rPr>
      </w:pPr>
      <w:r w:rsidRPr="00F06F66">
        <w:rPr>
          <w:rFonts w:ascii="Helvetica" w:hAnsi="Helvetica" w:cs="Calibri"/>
          <w:sz w:val="19"/>
          <w:szCs w:val="19"/>
          <w:lang w:val="es-US"/>
        </w:rPr>
        <w:t xml:space="preserve">Las unidades de vivienda comercializadas a través de NYC Housing </w:t>
      </w:r>
      <w:proofErr w:type="spellStart"/>
      <w:r w:rsidRPr="00F06F66">
        <w:rPr>
          <w:rFonts w:ascii="Helvetica" w:hAnsi="Helvetica" w:cs="Calibri"/>
          <w:sz w:val="19"/>
          <w:szCs w:val="19"/>
          <w:lang w:val="es-US"/>
        </w:rPr>
        <w:t>Connect</w:t>
      </w:r>
      <w:proofErr w:type="spellEnd"/>
      <w:r w:rsidRPr="00F06F66">
        <w:rPr>
          <w:rFonts w:ascii="Helvetica" w:hAnsi="Helvetica" w:cs="Calibri"/>
          <w:sz w:val="19"/>
          <w:szCs w:val="19"/>
          <w:lang w:val="es-US"/>
        </w:rPr>
        <w:t xml:space="preserve"> pueden recibir financiamiento a través de diversos programas de financiamiento federales, estatales o locales. Si usted y las personas con las que vive (“los miembros de su grupo familiar”) son elegibles de otra manera para la admi</w:t>
      </w:r>
      <w:r>
        <w:rPr>
          <w:rFonts w:ascii="Helvetica" w:hAnsi="Helvetica" w:cs="Calibri"/>
          <w:sz w:val="19"/>
          <w:szCs w:val="19"/>
          <w:lang w:val="es-US"/>
        </w:rPr>
        <w:t>sión, no se la pueden negar por</w:t>
      </w:r>
      <w:r w:rsidRPr="00F06F66">
        <w:rPr>
          <w:rFonts w:ascii="Helvetica" w:hAnsi="Helvetica" w:cs="Calibri"/>
          <w:sz w:val="19"/>
          <w:szCs w:val="19"/>
          <w:lang w:val="es-US"/>
        </w:rPr>
        <w:t xml:space="preserve">que un miembro del grupo familiar es o haya sido víctima de violencia doméstica, violencia de pareja, abuso sexual o acoso, ni como resultado directo de esto. Además, no se les puede negar la admisión a los miembros del grupo familiar solicitantes </w:t>
      </w:r>
      <w:r>
        <w:rPr>
          <w:rFonts w:ascii="Helvetica" w:hAnsi="Helvetica" w:cs="Calibri"/>
          <w:sz w:val="19"/>
          <w:szCs w:val="19"/>
          <w:lang w:val="es-US"/>
        </w:rPr>
        <w:t>por</w:t>
      </w:r>
      <w:r w:rsidRPr="00F06F66">
        <w:rPr>
          <w:rFonts w:ascii="Helvetica" w:hAnsi="Helvetica" w:cs="Calibri"/>
          <w:sz w:val="19"/>
          <w:szCs w:val="19"/>
          <w:lang w:val="es-US"/>
        </w:rPr>
        <w:t xml:space="preserve"> factores adversos que sean el resultado directo de ser o haber sido víctima de violencia doméstica, violencia de pareja, abuso sexual o acoso.</w:t>
      </w:r>
    </w:p>
    <w:p w14:paraId="74AA57BA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sz w:val="19"/>
          <w:szCs w:val="19"/>
          <w:lang w:val="es-US"/>
        </w:rPr>
      </w:pPr>
    </w:p>
    <w:p w14:paraId="45F46BB6" w14:textId="77777777" w:rsidR="00F45667" w:rsidRPr="00F06F66" w:rsidRDefault="00F45667" w:rsidP="00F45667">
      <w:pPr>
        <w:spacing w:line="276" w:lineRule="auto"/>
        <w:ind w:right="-180"/>
        <w:rPr>
          <w:rFonts w:ascii="Helvetica" w:hAnsi="Helvetica" w:cstheme="minorHAnsi"/>
          <w:sz w:val="19"/>
          <w:szCs w:val="19"/>
          <w:lang w:val="es-AR"/>
        </w:rPr>
      </w:pP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Los solicitantes que sean sobrevivientes de violencia doméstica pueden invocar sus derechos en virtud de la ley VAWA y apelar un rechazo de vivienda, en caso de que deseen alegar que el motivo del rechazo es una consecuencia directa de su experiencia con respecto a la violencia doméstica, violencia de pareja, agresión sexual o acoso.</w:t>
      </w: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 Tales motivos pueden incluir, entre otros, antecedentes crediticios insuficientes, falta de pago del alquiler, historial de alquiler insuficiente o antecedentes penales. Al presentar un reclamo de este tipo, a los solicitantes se les puede solicitar que proporcionen documentación de respaldo.</w:t>
      </w:r>
      <w:r w:rsidRPr="00F06F66">
        <w:rPr>
          <w:rFonts w:ascii="Helvetica" w:hAnsi="Helvetica" w:cs="Calibri"/>
          <w:sz w:val="19"/>
          <w:szCs w:val="19"/>
          <w:lang w:val="es-US"/>
        </w:rPr>
        <w:t xml:space="preserve"> Las instrucciones sobre el derecho de apelación y el plazo para presentar dicha apelación se explican en la carta de rechazo del agente de comercialización de desarrollo.</w:t>
      </w:r>
    </w:p>
    <w:p w14:paraId="4CD509BF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sz w:val="19"/>
          <w:szCs w:val="19"/>
          <w:lang w:val="es-AR"/>
        </w:rPr>
      </w:pPr>
    </w:p>
    <w:p w14:paraId="23E3BC0E" w14:textId="77777777" w:rsidR="00F45667" w:rsidRPr="00596245" w:rsidRDefault="00F45667" w:rsidP="00F45667">
      <w:pPr>
        <w:spacing w:line="276" w:lineRule="auto"/>
        <w:rPr>
          <w:rFonts w:ascii="Helvetica" w:hAnsi="Helvetica" w:cs="Calibri"/>
          <w:spacing w:val="-4"/>
          <w:sz w:val="19"/>
          <w:szCs w:val="19"/>
          <w:lang w:val="es-ES"/>
        </w:rPr>
      </w:pPr>
      <w:r w:rsidRPr="00F06F66">
        <w:rPr>
          <w:rFonts w:ascii="Helvetica" w:hAnsi="Helvetica" w:cs="Calibri"/>
          <w:spacing w:val="-4"/>
          <w:sz w:val="19"/>
          <w:szCs w:val="19"/>
          <w:lang w:val="es-US"/>
        </w:rPr>
        <w:t xml:space="preserve">Si necesita ayuda para </w:t>
      </w:r>
      <w:r w:rsidRPr="00F06F66">
        <w:rPr>
          <w:rFonts w:ascii="Helvetica" w:hAnsi="Helvetica" w:cs="Calibri"/>
          <w:b/>
          <w:bCs/>
          <w:spacing w:val="-4"/>
          <w:sz w:val="19"/>
          <w:szCs w:val="19"/>
          <w:lang w:val="es-US"/>
        </w:rPr>
        <w:t>apelar sobre la base de sus derechos en virtud de la ley VAWA</w:t>
      </w:r>
      <w:r w:rsidRPr="00F06F66">
        <w:rPr>
          <w:rFonts w:ascii="Helvetica" w:hAnsi="Helvetica" w:cs="Calibri"/>
          <w:spacing w:val="-4"/>
          <w:sz w:val="19"/>
          <w:szCs w:val="19"/>
          <w:lang w:val="es-US"/>
        </w:rPr>
        <w:t>, puede comunicarse con uno de los Centros de Justicia Familiar (</w:t>
      </w:r>
      <w:proofErr w:type="spellStart"/>
      <w:r w:rsidRPr="00F06F66">
        <w:rPr>
          <w:rFonts w:ascii="Helvetica" w:hAnsi="Helvetica" w:cs="Calibri"/>
          <w:spacing w:val="-4"/>
          <w:sz w:val="19"/>
          <w:szCs w:val="19"/>
          <w:lang w:val="es-US"/>
        </w:rPr>
        <w:t>Family</w:t>
      </w:r>
      <w:proofErr w:type="spellEnd"/>
      <w:r w:rsidRPr="00F06F66">
        <w:rPr>
          <w:rFonts w:ascii="Helvetica" w:hAnsi="Helvetica" w:cs="Calibri"/>
          <w:spacing w:val="-4"/>
          <w:sz w:val="19"/>
          <w:szCs w:val="19"/>
          <w:lang w:val="es-US"/>
        </w:rPr>
        <w:t xml:space="preserve"> </w:t>
      </w:r>
      <w:proofErr w:type="spellStart"/>
      <w:r w:rsidRPr="00F06F66">
        <w:rPr>
          <w:rFonts w:ascii="Helvetica" w:hAnsi="Helvetica" w:cs="Calibri"/>
          <w:spacing w:val="-4"/>
          <w:sz w:val="19"/>
          <w:szCs w:val="19"/>
          <w:lang w:val="es-US"/>
        </w:rPr>
        <w:t>Justice</w:t>
      </w:r>
      <w:proofErr w:type="spellEnd"/>
      <w:r w:rsidRPr="00F06F66">
        <w:rPr>
          <w:rFonts w:ascii="Helvetica" w:hAnsi="Helvetica" w:cs="Calibri"/>
          <w:spacing w:val="-4"/>
          <w:sz w:val="19"/>
          <w:szCs w:val="19"/>
          <w:lang w:val="es-US"/>
        </w:rPr>
        <w:t xml:space="preserve"> Center) de la ciudad de Nueva York:</w:t>
      </w:r>
    </w:p>
    <w:p w14:paraId="72B22C7D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sz w:val="19"/>
          <w:szCs w:val="19"/>
          <w:lang w:val="es-AR"/>
        </w:rPr>
      </w:pPr>
    </w:p>
    <w:p w14:paraId="3861BB96" w14:textId="77777777" w:rsidR="00F45667" w:rsidRPr="00F06F66" w:rsidRDefault="00F45667" w:rsidP="00F45667">
      <w:pPr>
        <w:spacing w:line="276" w:lineRule="auto"/>
        <w:ind w:left="360"/>
        <w:outlineLvl w:val="0"/>
        <w:rPr>
          <w:rFonts w:ascii="Helvetica" w:hAnsi="Helvetica" w:cstheme="minorHAnsi"/>
          <w:spacing w:val="-6"/>
          <w:sz w:val="19"/>
          <w:szCs w:val="19"/>
        </w:rPr>
      </w:pPr>
      <w:r w:rsidRPr="00F06F66">
        <w:rPr>
          <w:rFonts w:ascii="Helvetica" w:hAnsi="Helvetica" w:cstheme="minorHAnsi"/>
          <w:spacing w:val="-6"/>
          <w:sz w:val="19"/>
          <w:szCs w:val="19"/>
        </w:rPr>
        <w:t>Bronx Family Justice Center (Centro de Justicia Familiar de Bronx), 198 East 161</w:t>
      </w:r>
      <w:r w:rsidRPr="00F06F66">
        <w:rPr>
          <w:rFonts w:ascii="Helvetica" w:hAnsi="Helvetica" w:cstheme="minorHAnsi"/>
          <w:spacing w:val="-6"/>
          <w:sz w:val="19"/>
          <w:szCs w:val="19"/>
          <w:vertAlign w:val="superscript"/>
        </w:rPr>
        <w:t>st</w:t>
      </w:r>
      <w:r w:rsidRPr="00F06F66">
        <w:rPr>
          <w:rFonts w:ascii="Helvetica" w:hAnsi="Helvetica" w:cstheme="minorHAnsi"/>
          <w:spacing w:val="-6"/>
          <w:sz w:val="19"/>
          <w:szCs w:val="19"/>
        </w:rPr>
        <w:t xml:space="preserve"> Street, 2</w:t>
      </w:r>
      <w:r w:rsidRPr="00F06F66">
        <w:rPr>
          <w:rFonts w:ascii="Helvetica" w:hAnsi="Helvetica" w:cstheme="minorHAnsi"/>
          <w:spacing w:val="-6"/>
          <w:sz w:val="19"/>
          <w:szCs w:val="19"/>
          <w:vertAlign w:val="superscript"/>
        </w:rPr>
        <w:t>nd</w:t>
      </w:r>
      <w:r w:rsidRPr="00F06F66">
        <w:rPr>
          <w:rFonts w:ascii="Helvetica" w:hAnsi="Helvetica" w:cstheme="minorHAnsi"/>
          <w:spacing w:val="-6"/>
          <w:sz w:val="19"/>
          <w:szCs w:val="19"/>
        </w:rPr>
        <w:t xml:space="preserve"> Floor, 718-508-1220</w:t>
      </w:r>
    </w:p>
    <w:p w14:paraId="18662CDB" w14:textId="77777777" w:rsidR="00F45667" w:rsidRPr="00F06F66" w:rsidRDefault="00F45667" w:rsidP="00F45667">
      <w:pPr>
        <w:spacing w:line="276" w:lineRule="auto"/>
        <w:ind w:left="360"/>
        <w:outlineLvl w:val="0"/>
        <w:rPr>
          <w:rFonts w:ascii="Helvetica" w:hAnsi="Helvetica" w:cstheme="minorHAnsi"/>
          <w:sz w:val="19"/>
          <w:szCs w:val="19"/>
        </w:rPr>
      </w:pPr>
      <w:r w:rsidRPr="00F06F66">
        <w:rPr>
          <w:rFonts w:ascii="Helvetica" w:hAnsi="Helvetica" w:cstheme="minorHAnsi"/>
          <w:sz w:val="19"/>
          <w:szCs w:val="19"/>
        </w:rPr>
        <w:t>Brooklyn Family Justice Center (Centro de Justicia Familiar de Brooklyn), 350 Jay Street, 718-250-5111</w:t>
      </w:r>
    </w:p>
    <w:p w14:paraId="22D38C5A" w14:textId="77777777" w:rsidR="00F45667" w:rsidRPr="00F06F66" w:rsidRDefault="00F45667" w:rsidP="00F45667">
      <w:pPr>
        <w:spacing w:line="276" w:lineRule="auto"/>
        <w:ind w:left="360"/>
        <w:outlineLvl w:val="0"/>
        <w:rPr>
          <w:rFonts w:ascii="Helvetica" w:hAnsi="Helvetica" w:cstheme="minorHAnsi"/>
          <w:spacing w:val="-2"/>
          <w:sz w:val="19"/>
          <w:szCs w:val="19"/>
        </w:rPr>
      </w:pPr>
      <w:r w:rsidRPr="00F06F66">
        <w:rPr>
          <w:rFonts w:ascii="Helvetica" w:hAnsi="Helvetica" w:cstheme="minorHAnsi"/>
          <w:spacing w:val="-2"/>
          <w:sz w:val="19"/>
          <w:szCs w:val="19"/>
        </w:rPr>
        <w:t>Queens Family Justice Center (Centro de Justicia Familiar de Queens), 126-02 82</w:t>
      </w:r>
      <w:r w:rsidRPr="00F06F66">
        <w:rPr>
          <w:rFonts w:ascii="Helvetica" w:hAnsi="Helvetica" w:cstheme="minorHAnsi"/>
          <w:spacing w:val="-2"/>
          <w:sz w:val="19"/>
          <w:szCs w:val="19"/>
          <w:vertAlign w:val="superscript"/>
        </w:rPr>
        <w:t>nd</w:t>
      </w:r>
      <w:r w:rsidRPr="00F06F66">
        <w:rPr>
          <w:rFonts w:ascii="Helvetica" w:hAnsi="Helvetica" w:cstheme="minorHAnsi"/>
          <w:spacing w:val="-2"/>
          <w:sz w:val="19"/>
          <w:szCs w:val="19"/>
        </w:rPr>
        <w:t xml:space="preserve"> Avenue, 718-575-4545</w:t>
      </w:r>
    </w:p>
    <w:p w14:paraId="28BC146A" w14:textId="77777777" w:rsidR="00F45667" w:rsidRPr="00F06F66" w:rsidRDefault="00F45667" w:rsidP="00F45667">
      <w:pPr>
        <w:spacing w:line="276" w:lineRule="auto"/>
        <w:ind w:left="360"/>
        <w:outlineLvl w:val="0"/>
        <w:rPr>
          <w:rFonts w:ascii="Helvetica" w:hAnsi="Helvetica" w:cstheme="minorHAnsi"/>
          <w:spacing w:val="-2"/>
          <w:sz w:val="19"/>
          <w:szCs w:val="19"/>
        </w:rPr>
      </w:pPr>
      <w:r w:rsidRPr="00F06F66">
        <w:rPr>
          <w:rFonts w:ascii="Helvetica" w:hAnsi="Helvetica" w:cstheme="minorHAnsi"/>
          <w:spacing w:val="-2"/>
          <w:sz w:val="19"/>
          <w:szCs w:val="19"/>
        </w:rPr>
        <w:t>Manhattan Family Justice Center (Centro de Justicia Familiar de Manhattan), 80 Center Street, 212-602-2800</w:t>
      </w:r>
    </w:p>
    <w:p w14:paraId="5267F76E" w14:textId="77777777" w:rsidR="00F45667" w:rsidRPr="00F06F66" w:rsidRDefault="00F45667" w:rsidP="00F45667">
      <w:pPr>
        <w:spacing w:line="276" w:lineRule="auto"/>
        <w:ind w:left="360"/>
        <w:outlineLvl w:val="0"/>
        <w:rPr>
          <w:rFonts w:ascii="Helvetica" w:hAnsi="Helvetica" w:cstheme="minorHAnsi"/>
          <w:sz w:val="19"/>
          <w:szCs w:val="19"/>
        </w:rPr>
      </w:pPr>
      <w:r w:rsidRPr="00F06F66">
        <w:rPr>
          <w:rFonts w:ascii="Helvetica" w:hAnsi="Helvetica" w:cstheme="minorHAnsi"/>
          <w:sz w:val="19"/>
          <w:szCs w:val="19"/>
        </w:rPr>
        <w:t>Staten Island Family Justice Center (Centro de Justicia Familiar de Staten Island), 126 Stuyvesant Place, 718-697-4300</w:t>
      </w:r>
    </w:p>
    <w:p w14:paraId="798C1764" w14:textId="77777777" w:rsidR="00F45667" w:rsidRPr="00596245" w:rsidRDefault="00F45667" w:rsidP="00F45667">
      <w:pPr>
        <w:spacing w:before="240" w:line="276" w:lineRule="auto"/>
        <w:rPr>
          <w:rFonts w:ascii="Helvetica" w:hAnsi="Helvetica" w:cs="Calibri"/>
          <w:bCs/>
          <w:sz w:val="19"/>
          <w:szCs w:val="19"/>
          <w:lang w:val="es-ES"/>
        </w:rPr>
      </w:pPr>
      <w:r w:rsidRPr="00F06F66">
        <w:rPr>
          <w:rFonts w:ascii="Helvetica" w:hAnsi="Helvetica" w:cs="Calibri"/>
          <w:sz w:val="19"/>
          <w:szCs w:val="19"/>
          <w:lang w:val="es-US"/>
        </w:rPr>
        <w:t>Los Centros de Justicia Familiar les ofrecen una amplia variedad de información y servicios a los sobrevivientes de violencia doméstica y de género. No es necesario tener una cita. Todos los centros están abiertos de lunes a viernes, de 9:00 a. m. a 5:00 p. m. Traiga una copia de este aviso.</w:t>
      </w:r>
    </w:p>
    <w:p w14:paraId="0E6A4EC4" w14:textId="77777777" w:rsidR="00F45667" w:rsidRPr="00F06F66" w:rsidRDefault="00F45667" w:rsidP="00F45667">
      <w:pPr>
        <w:spacing w:before="240" w:line="276" w:lineRule="auto"/>
        <w:rPr>
          <w:rFonts w:ascii="Helvetica" w:hAnsi="Helvetica" w:cstheme="minorHAnsi"/>
          <w:b/>
          <w:sz w:val="19"/>
          <w:szCs w:val="19"/>
          <w:lang w:val="es-AR"/>
        </w:rPr>
      </w:pP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Confidencialidad</w:t>
      </w:r>
    </w:p>
    <w:p w14:paraId="1F5C7D5D" w14:textId="77777777" w:rsidR="00F45667" w:rsidRPr="00596245" w:rsidRDefault="00F45667" w:rsidP="00F45667">
      <w:pPr>
        <w:autoSpaceDE w:val="0"/>
        <w:autoSpaceDN w:val="0"/>
        <w:spacing w:line="276" w:lineRule="auto"/>
        <w:rPr>
          <w:rFonts w:ascii="Helvetica" w:hAnsi="Helvetica" w:cs="Calibri"/>
          <w:sz w:val="19"/>
          <w:szCs w:val="19"/>
          <w:lang w:val="es-ES"/>
        </w:rPr>
      </w:pPr>
      <w:r w:rsidRPr="00F06F66">
        <w:rPr>
          <w:rFonts w:ascii="Helvetica" w:hAnsi="Helvetica" w:cs="Calibri"/>
          <w:sz w:val="19"/>
          <w:szCs w:val="19"/>
          <w:lang w:val="es-US"/>
        </w:rPr>
        <w:t xml:space="preserve">Las agencias y todos los agentes de comercialización/representantes de propietarios deben mantener la confidencialidad de toda información que proporcionen los solicitantes sobrevivientes de violencia doméstica, violencia de pareja, abuso sexual o acoso, incluido el hecho de que el solicitante está ejerciendo sus derechos en virtud de la ley VAWA. </w:t>
      </w:r>
    </w:p>
    <w:p w14:paraId="3A420931" w14:textId="77777777" w:rsidR="00F45667" w:rsidRPr="00F06F66" w:rsidRDefault="00F45667" w:rsidP="00F45667">
      <w:pPr>
        <w:autoSpaceDE w:val="0"/>
        <w:autoSpaceDN w:val="0"/>
        <w:spacing w:before="240" w:line="276" w:lineRule="auto"/>
        <w:rPr>
          <w:rFonts w:ascii="Helvetica" w:hAnsi="Helvetica" w:cstheme="minorHAnsi"/>
          <w:sz w:val="19"/>
          <w:szCs w:val="19"/>
          <w:lang w:val="es-AR"/>
        </w:rPr>
      </w:pP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Sin embargo, pueden </w:t>
      </w:r>
      <w:r>
        <w:rPr>
          <w:rFonts w:ascii="Helvetica" w:hAnsi="Helvetica" w:cstheme="minorHAnsi"/>
          <w:sz w:val="19"/>
          <w:szCs w:val="19"/>
          <w:lang w:val="es-US"/>
        </w:rPr>
        <w:t>revelar</w:t>
      </w: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 la información que proporcione en los siguientes casos:</w:t>
      </w:r>
    </w:p>
    <w:p w14:paraId="12675D51" w14:textId="77777777" w:rsidR="00F45667" w:rsidRPr="00596245" w:rsidRDefault="00F45667" w:rsidP="00F45667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Helvetica" w:eastAsia="Calibri" w:hAnsi="Helvetica" w:cs="Calibri"/>
          <w:sz w:val="19"/>
          <w:szCs w:val="19"/>
          <w:lang w:val="es-ES"/>
        </w:rPr>
      </w:pPr>
      <w:r w:rsidRPr="00F06F66">
        <w:rPr>
          <w:rFonts w:ascii="Helvetica" w:eastAsia="Calibri" w:hAnsi="Helvetica" w:cs="Calibri"/>
          <w:sz w:val="19"/>
          <w:szCs w:val="19"/>
          <w:lang w:val="es-US"/>
        </w:rPr>
        <w:t>Se da permiso por escrito para revelar la información durante un tiempo limitado.</w:t>
      </w:r>
    </w:p>
    <w:p w14:paraId="2273AEF7" w14:textId="77777777" w:rsidR="00F45667" w:rsidRPr="00F06F66" w:rsidRDefault="00F45667" w:rsidP="00F45667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Helvetica" w:eastAsia="Calibri" w:hAnsi="Helvetica" w:cstheme="minorHAnsi"/>
          <w:sz w:val="19"/>
          <w:szCs w:val="19"/>
          <w:lang w:val="es-AR"/>
        </w:rPr>
      </w:pPr>
      <w:r w:rsidRPr="00F06F66">
        <w:rPr>
          <w:rFonts w:ascii="Helvetica" w:eastAsia="Calibri" w:hAnsi="Helvetica" w:cstheme="minorHAnsi"/>
          <w:sz w:val="19"/>
          <w:szCs w:val="19"/>
          <w:lang w:val="es-US"/>
        </w:rPr>
        <w:t xml:space="preserve">Si una ley les exige a las agencias o al agente de comercialización/propietario que </w:t>
      </w:r>
      <w:r>
        <w:rPr>
          <w:rFonts w:ascii="Helvetica" w:eastAsia="Calibri" w:hAnsi="Helvetica" w:cstheme="minorHAnsi"/>
          <w:sz w:val="19"/>
          <w:szCs w:val="19"/>
          <w:lang w:val="es-US"/>
        </w:rPr>
        <w:t>revelen</w:t>
      </w:r>
      <w:r w:rsidRPr="00F06F66">
        <w:rPr>
          <w:rFonts w:ascii="Helvetica" w:eastAsia="Calibri" w:hAnsi="Helvetica" w:cstheme="minorHAnsi"/>
          <w:sz w:val="19"/>
          <w:szCs w:val="19"/>
          <w:lang w:val="es-US"/>
        </w:rPr>
        <w:t xml:space="preserve"> </w:t>
      </w:r>
      <w:r>
        <w:rPr>
          <w:rFonts w:ascii="Helvetica" w:eastAsia="Calibri" w:hAnsi="Helvetica" w:cstheme="minorHAnsi"/>
          <w:sz w:val="19"/>
          <w:szCs w:val="19"/>
          <w:lang w:val="es-US"/>
        </w:rPr>
        <w:br/>
      </w:r>
      <w:r w:rsidRPr="00F06F66">
        <w:rPr>
          <w:rFonts w:ascii="Helvetica" w:eastAsia="Calibri" w:hAnsi="Helvetica" w:cstheme="minorHAnsi"/>
          <w:sz w:val="19"/>
          <w:szCs w:val="19"/>
          <w:lang w:val="es-US"/>
        </w:rPr>
        <w:t>la información.</w:t>
      </w:r>
    </w:p>
    <w:p w14:paraId="4B0BF898" w14:textId="77777777" w:rsidR="00F45667" w:rsidRPr="00F06F66" w:rsidRDefault="00F45667" w:rsidP="00F45667">
      <w:pPr>
        <w:spacing w:before="240" w:line="276" w:lineRule="auto"/>
        <w:rPr>
          <w:rFonts w:ascii="Helvetica" w:hAnsi="Helvetica" w:cstheme="minorHAnsi"/>
          <w:b/>
          <w:sz w:val="19"/>
          <w:szCs w:val="19"/>
          <w:lang w:val="es-AR"/>
        </w:rPr>
      </w:pP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Otras leyes</w:t>
      </w:r>
    </w:p>
    <w:p w14:paraId="254CC845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b/>
          <w:sz w:val="19"/>
          <w:szCs w:val="19"/>
          <w:lang w:val="es-AR"/>
        </w:rPr>
      </w:pP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VAWA no reemplaza ninguna ley federal, estatal ni local que proporcione mayor protección para las víctimas de violencia doméstica, violencia de parejas, agresión sexual o acoso. Es posible que tenga derecho a recibir otras protecciones de vivienda para víctimas de violencia doméstica, violencia de parejas, agresión sexual o acoso de conformidad con otras leyes federales, así como en virtud de las leyes estatales o locales. </w:t>
      </w:r>
    </w:p>
    <w:p w14:paraId="0DABCBDF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b/>
          <w:sz w:val="19"/>
          <w:szCs w:val="19"/>
          <w:lang w:val="es-AR"/>
        </w:rPr>
      </w:pPr>
    </w:p>
    <w:p w14:paraId="12B8E475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b/>
          <w:sz w:val="19"/>
          <w:szCs w:val="19"/>
          <w:lang w:val="es-AR"/>
        </w:rPr>
      </w:pP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Para obtener información adicional</w:t>
      </w:r>
    </w:p>
    <w:p w14:paraId="5A212A0E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sz w:val="19"/>
          <w:szCs w:val="19"/>
          <w:lang w:val="es-AR"/>
        </w:rPr>
      </w:pP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Puede ver una copia del reglamento final de la VAWA del HUD, el cual cubre muchos de los programas de vivienda del HUD, en </w:t>
      </w: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www.gpo.gov/fdsys/pkg/FR-2016-11-16/pdf/2016-25888.pdf</w:t>
      </w: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. </w:t>
      </w:r>
    </w:p>
    <w:p w14:paraId="455734DA" w14:textId="77777777" w:rsidR="00F45667" w:rsidRPr="00F06F66" w:rsidRDefault="00F45667" w:rsidP="00F45667">
      <w:pPr>
        <w:spacing w:line="276" w:lineRule="auto"/>
        <w:ind w:left="360"/>
        <w:rPr>
          <w:rFonts w:ascii="Helvetica" w:hAnsi="Helvetica" w:cstheme="minorHAnsi"/>
          <w:sz w:val="19"/>
          <w:szCs w:val="19"/>
          <w:lang w:val="es-AR"/>
        </w:rPr>
      </w:pPr>
    </w:p>
    <w:p w14:paraId="3D9359E6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sz w:val="19"/>
          <w:szCs w:val="19"/>
          <w:lang w:val="es-AR"/>
        </w:rPr>
      </w:pPr>
      <w:r w:rsidRPr="00F06F66">
        <w:rPr>
          <w:rFonts w:ascii="Helvetica" w:hAnsi="Helvetica" w:cstheme="minorHAnsi"/>
          <w:sz w:val="19"/>
          <w:szCs w:val="19"/>
          <w:lang w:val="es-US"/>
        </w:rPr>
        <w:t>Para obtener ayuda con respecto a una relación abusiva, puede llamar a la</w:t>
      </w: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Línea Directa contra la Violencia Doméstica de NYC al 1-800-621-4673. </w:t>
      </w: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Entre los recursos adicionales que ofrece la Ciudad de Nueva York para sobrevivientes de violencia de pareja se incluyen los </w:t>
      </w: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Centros de Justicia Familiar</w:t>
      </w: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 mencionados anteriormente bajo el título “Protecciones para solicitantes”.</w:t>
      </w:r>
    </w:p>
    <w:p w14:paraId="58ECAA10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sz w:val="19"/>
          <w:szCs w:val="19"/>
          <w:lang w:val="es-AR"/>
        </w:rPr>
      </w:pPr>
    </w:p>
    <w:p w14:paraId="0A451C08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b/>
          <w:sz w:val="19"/>
          <w:szCs w:val="19"/>
          <w:lang w:val="es-AR"/>
        </w:rPr>
      </w:pP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Los solicitantes que son o han sido víctimas de acoso y buscan ayuda, pueden visitar el </w:t>
      </w: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Centro de Recursos del Centro Nacional para Víctimas de Acoso (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National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Center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for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Victims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of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Crime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) </w:t>
      </w: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en </w:t>
      </w:r>
    </w:p>
    <w:p w14:paraId="185107D2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b/>
          <w:sz w:val="19"/>
          <w:szCs w:val="19"/>
          <w:lang w:val="es-AR"/>
        </w:rPr>
      </w:pP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www.victimsofcrime.org/our-programs/stalking-resource-center.</w:t>
      </w:r>
    </w:p>
    <w:p w14:paraId="77A5BD81" w14:textId="77777777" w:rsidR="00F45667" w:rsidRPr="00F06F66" w:rsidRDefault="00F45667" w:rsidP="00F45667">
      <w:pPr>
        <w:spacing w:line="276" w:lineRule="auto"/>
        <w:ind w:left="360"/>
        <w:rPr>
          <w:rFonts w:ascii="Helvetica" w:hAnsi="Helvetica" w:cstheme="minorHAnsi"/>
          <w:sz w:val="19"/>
          <w:szCs w:val="19"/>
          <w:lang w:val="es-AR"/>
        </w:rPr>
      </w:pPr>
    </w:p>
    <w:p w14:paraId="2C64033D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b/>
          <w:sz w:val="19"/>
          <w:szCs w:val="19"/>
          <w:lang w:val="es-AR"/>
        </w:rPr>
      </w:pPr>
      <w:r w:rsidRPr="00F06F66">
        <w:rPr>
          <w:rFonts w:ascii="Helvetica" w:hAnsi="Helvetica" w:cstheme="minorHAnsi"/>
          <w:sz w:val="19"/>
          <w:szCs w:val="19"/>
          <w:lang w:val="es-US"/>
        </w:rPr>
        <w:lastRenderedPageBreak/>
        <w:t xml:space="preserve">Para obtener ayuda con respecto a la agresión sexual, puede comunicarse con la </w:t>
      </w: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Alianza contra la Agresión Sexual (Alliance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Against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Sexual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Assault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) de NYC: 212-229-0345</w:t>
      </w: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 o con la </w:t>
      </w: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Red Nacional de Violación, Abuso e Incesto (Rape Abuse and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Incest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</w:t>
      </w:r>
      <w:proofErr w:type="spellStart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>National</w:t>
      </w:r>
      <w:proofErr w:type="spellEnd"/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Network, RAINN): 1-800-656-4673</w:t>
      </w:r>
      <w:r w:rsidRPr="00F06F66">
        <w:rPr>
          <w:rFonts w:ascii="Helvetica" w:hAnsi="Helvetica" w:cstheme="minorHAnsi"/>
          <w:sz w:val="19"/>
          <w:szCs w:val="19"/>
          <w:lang w:val="es-US"/>
        </w:rPr>
        <w:t>.</w:t>
      </w:r>
      <w:r w:rsidRPr="00F06F66">
        <w:rPr>
          <w:rFonts w:ascii="Helvetica" w:hAnsi="Helvetica" w:cstheme="minorHAnsi"/>
          <w:b/>
          <w:bCs/>
          <w:sz w:val="19"/>
          <w:szCs w:val="19"/>
          <w:lang w:val="es-US"/>
        </w:rPr>
        <w:t xml:space="preserve"> </w:t>
      </w:r>
    </w:p>
    <w:p w14:paraId="13DCFAED" w14:textId="77777777" w:rsidR="00F45667" w:rsidRPr="00F06F66" w:rsidRDefault="00F45667" w:rsidP="00F45667">
      <w:pPr>
        <w:spacing w:line="276" w:lineRule="auto"/>
        <w:ind w:left="360"/>
        <w:rPr>
          <w:rFonts w:ascii="Helvetica" w:hAnsi="Helvetica" w:cstheme="minorHAnsi"/>
          <w:b/>
          <w:sz w:val="19"/>
          <w:szCs w:val="19"/>
          <w:lang w:val="es-AR"/>
        </w:rPr>
      </w:pPr>
    </w:p>
    <w:p w14:paraId="1F931FAE" w14:textId="77777777" w:rsidR="00F45667" w:rsidRPr="00F06F66" w:rsidRDefault="00F45667" w:rsidP="00F45667">
      <w:pPr>
        <w:spacing w:line="276" w:lineRule="auto"/>
        <w:rPr>
          <w:rFonts w:ascii="Helvetica" w:hAnsi="Helvetica" w:cstheme="minorHAnsi"/>
          <w:sz w:val="19"/>
          <w:szCs w:val="19"/>
          <w:lang w:val="es-AR"/>
        </w:rPr>
      </w:pPr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Las víctimas de cualquier delito, incluido el acoso, pueden comunicarse con sus estaciones de </w:t>
      </w:r>
      <w:r w:rsidRPr="00F06F66">
        <w:rPr>
          <w:rFonts w:ascii="Helvetica" w:hAnsi="Helvetica" w:cstheme="minorHAnsi"/>
          <w:sz w:val="19"/>
          <w:szCs w:val="19"/>
          <w:lang w:val="es-US"/>
        </w:rPr>
        <w:br/>
      </w:r>
      <w:proofErr w:type="gramStart"/>
      <w:r w:rsidRPr="00F06F66">
        <w:rPr>
          <w:rFonts w:ascii="Helvetica" w:hAnsi="Helvetica" w:cstheme="minorHAnsi"/>
          <w:sz w:val="19"/>
          <w:szCs w:val="19"/>
          <w:lang w:val="es-US"/>
        </w:rPr>
        <w:t>policía locales</w:t>
      </w:r>
      <w:proofErr w:type="gramEnd"/>
      <w:r w:rsidRPr="00F06F66">
        <w:rPr>
          <w:rFonts w:ascii="Helvetica" w:hAnsi="Helvetica" w:cstheme="minorHAnsi"/>
          <w:sz w:val="19"/>
          <w:szCs w:val="19"/>
          <w:lang w:val="es-US"/>
        </w:rPr>
        <w:t xml:space="preserve">. </w:t>
      </w:r>
    </w:p>
    <w:p w14:paraId="6A3317EC" w14:textId="77777777" w:rsidR="00F45667" w:rsidRPr="00F06F66" w:rsidRDefault="00F45667" w:rsidP="00F45667">
      <w:pPr>
        <w:spacing w:after="200" w:line="276" w:lineRule="auto"/>
        <w:rPr>
          <w:rFonts w:ascii="Helvetica" w:eastAsiaTheme="minorHAnsi" w:hAnsi="Helvetica" w:cstheme="minorBidi"/>
          <w:sz w:val="19"/>
          <w:szCs w:val="19"/>
          <w:lang w:val="es-AR"/>
        </w:rPr>
      </w:pPr>
    </w:p>
    <w:p w14:paraId="45299E0A" w14:textId="77777777" w:rsidR="00F45667" w:rsidRPr="00513203" w:rsidRDefault="00F45667" w:rsidP="00F45667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68A0AF49" w14:textId="77777777" w:rsidR="00F45667" w:rsidRPr="00513203" w:rsidRDefault="00F45667" w:rsidP="00F45667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7771728F" w14:textId="77777777" w:rsidR="00F45667" w:rsidRPr="00513203" w:rsidRDefault="00F45667" w:rsidP="00F45667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5644DF7E" w14:textId="77777777" w:rsidR="00F45667" w:rsidRPr="00A47978" w:rsidRDefault="00F45667" w:rsidP="00F45667">
      <w:pPr>
        <w:rPr>
          <w:rFonts w:ascii="Helvetica" w:hAnsi="Helvetica" w:cstheme="minorHAnsi"/>
          <w:b/>
          <w:sz w:val="20"/>
          <w:szCs w:val="20"/>
          <w:u w:val="single"/>
        </w:rPr>
      </w:pPr>
      <w:r w:rsidRPr="00513203">
        <w:rPr>
          <w:rFonts w:ascii="Helvetica" w:hAnsi="Helvetica" w:cstheme="minorHAnsi"/>
          <w:sz w:val="18"/>
          <w:szCs w:val="18"/>
          <w:lang w:val="es-US"/>
        </w:rPr>
        <w:t xml:space="preserve"> </w:t>
      </w:r>
    </w:p>
    <w:p w14:paraId="5C84C825" w14:textId="00A64525" w:rsidR="000009D8" w:rsidRPr="00490D0F" w:rsidRDefault="000009D8" w:rsidP="00B8782D">
      <w:pPr>
        <w:pStyle w:val="Body"/>
        <w:spacing w:line="276" w:lineRule="auto"/>
        <w:rPr>
          <w:lang w:val="es-ES"/>
        </w:rPr>
      </w:pPr>
    </w:p>
    <w:sectPr w:rsidR="000009D8" w:rsidRPr="00490D0F">
      <w:headerReference w:type="default" r:id="rId7"/>
      <w:footerReference w:type="default" r:id="rId8"/>
      <w:pgSz w:w="12240" w:h="15840"/>
      <w:pgMar w:top="720" w:right="1440" w:bottom="720" w:left="1440" w:header="0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83AC4" w14:textId="77777777" w:rsidR="006E211F" w:rsidRDefault="006E211F">
      <w:r>
        <w:separator/>
      </w:r>
    </w:p>
  </w:endnote>
  <w:endnote w:type="continuationSeparator" w:id="0">
    <w:p w14:paraId="108A63AD" w14:textId="77777777" w:rsidR="006E211F" w:rsidRDefault="006E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7592" w14:textId="297B93AE" w:rsidR="000009D8" w:rsidRPr="00A313F9" w:rsidRDefault="00402355">
    <w:pPr>
      <w:pStyle w:val="Footer"/>
      <w:tabs>
        <w:tab w:val="clear" w:pos="9360"/>
        <w:tab w:val="right" w:pos="9340"/>
      </w:tabs>
      <w:spacing w:before="240"/>
      <w:rPr>
        <w:rFonts w:ascii="Helvetica" w:eastAsia="Helvetica" w:hAnsi="Helvetica" w:cs="Helvetica"/>
        <w:i/>
        <w:iCs/>
        <w:sz w:val="20"/>
        <w:szCs w:val="20"/>
        <w:lang w:val="fr-FR"/>
      </w:rPr>
    </w:pPr>
    <w:r>
      <w:rPr>
        <w:rFonts w:ascii="Helvetica" w:hAnsi="Helvetica"/>
        <w:sz w:val="20"/>
        <w:szCs w:val="20"/>
        <w:lang w:val="es-US"/>
      </w:rPr>
      <w:t>AVISO DE SOLICITANTES IMPLICADOS POR LA JUSTICIA (H9)</w:t>
    </w:r>
    <w:r>
      <w:rPr>
        <w:rFonts w:ascii="Helvetica" w:hAnsi="Helvetica"/>
        <w:sz w:val="20"/>
        <w:szCs w:val="20"/>
        <w:lang w:val="es-US"/>
      </w:rPr>
      <w:tab/>
    </w:r>
  </w:p>
  <w:p w14:paraId="2ACF3510" w14:textId="431BF2E7" w:rsidR="000009D8" w:rsidRDefault="00A313F9">
    <w:pPr>
      <w:pStyle w:val="Footer"/>
      <w:tabs>
        <w:tab w:val="clear" w:pos="9360"/>
        <w:tab w:val="right" w:pos="9340"/>
      </w:tabs>
      <w:rPr>
        <w:rFonts w:ascii="Helvetica" w:eastAsia="Helvetica" w:hAnsi="Helvetica" w:cs="Helvetica"/>
        <w:sz w:val="20"/>
        <w:szCs w:val="20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447D546" wp14:editId="794BE029">
          <wp:simplePos x="0" y="0"/>
          <wp:positionH relativeFrom="page">
            <wp:posOffset>6491382</wp:posOffset>
          </wp:positionH>
          <wp:positionV relativeFrom="page">
            <wp:posOffset>9370060</wp:posOffset>
          </wp:positionV>
          <wp:extent cx="255905" cy="274320"/>
          <wp:effectExtent l="0" t="0" r="0" b="0"/>
          <wp:wrapNone/>
          <wp:docPr id="1073741826" name="officeArt object" descr="Pictur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17" descr="Picture 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D84B9C">
      <w:rPr>
        <w:rFonts w:ascii="Arial" w:hAnsi="Arial" w:cs="Arial"/>
        <w:sz w:val="17"/>
        <w:szCs w:val="17"/>
      </w:rPr>
      <w:t xml:space="preserve">de </w:t>
    </w:r>
    <w:proofErr w:type="spellStart"/>
    <w:r w:rsidR="00D84B9C">
      <w:rPr>
        <w:rFonts w:ascii="Arial" w:hAnsi="Arial" w:cs="Arial"/>
        <w:sz w:val="17"/>
        <w:szCs w:val="17"/>
      </w:rPr>
      <w:t>enero</w:t>
    </w:r>
    <w:proofErr w:type="spellEnd"/>
    <w:r w:rsidR="00D84B9C">
      <w:rPr>
        <w:rFonts w:ascii="Arial" w:hAnsi="Arial" w:cs="Arial"/>
        <w:sz w:val="17"/>
        <w:szCs w:val="17"/>
      </w:rPr>
      <w:t xml:space="preserve"> </w:t>
    </w:r>
    <w:r w:rsidR="00402355">
      <w:rPr>
        <w:rFonts w:ascii="Helvetica" w:hAnsi="Helvetica"/>
        <w:sz w:val="20"/>
        <w:szCs w:val="20"/>
        <w:lang w:val="es-US"/>
      </w:rPr>
      <w:t>202</w:t>
    </w:r>
    <w:r w:rsidR="00D84B9C">
      <w:rPr>
        <w:rFonts w:ascii="Helvetica" w:hAnsi="Helvetica"/>
        <w:sz w:val="20"/>
        <w:szCs w:val="20"/>
        <w:lang w:val="es-US"/>
      </w:rPr>
      <w:t>5</w:t>
    </w:r>
    <w:r w:rsidR="00402355">
      <w:rPr>
        <w:rFonts w:ascii="Helvetica" w:hAnsi="Helvetica"/>
        <w:sz w:val="20"/>
        <w:szCs w:val="20"/>
        <w:lang w:val="es-US"/>
      </w:rPr>
      <w:tab/>
      <w:t xml:space="preserve"> </w:t>
    </w:r>
    <w:r w:rsidR="00402355">
      <w:rPr>
        <w:rFonts w:ascii="Helvetica" w:hAnsi="Helvetica"/>
        <w:sz w:val="20"/>
        <w:szCs w:val="20"/>
        <w:lang w:val="es-US"/>
      </w:rPr>
      <w:tab/>
    </w:r>
  </w:p>
  <w:p w14:paraId="6A33642D" w14:textId="46A46A4C" w:rsidR="000009D8" w:rsidRDefault="00402355">
    <w:pPr>
      <w:pStyle w:val="Footer"/>
      <w:tabs>
        <w:tab w:val="clear" w:pos="9360"/>
        <w:tab w:val="right" w:pos="9340"/>
      </w:tabs>
      <w:jc w:val="right"/>
    </w:pPr>
    <w:r>
      <w:rPr>
        <w:rFonts w:ascii="Helvetica" w:eastAsia="Helvetica" w:hAnsi="Helvetica" w:cs="Helvetica"/>
        <w:sz w:val="20"/>
        <w:szCs w:val="20"/>
        <w:lang w:val="es-US"/>
      </w:rPr>
      <w:fldChar w:fldCharType="begin"/>
    </w:r>
    <w:r>
      <w:rPr>
        <w:rFonts w:ascii="Helvetica" w:eastAsia="Helvetica" w:hAnsi="Helvetica" w:cs="Helvetica"/>
        <w:sz w:val="20"/>
        <w:szCs w:val="20"/>
        <w:lang w:val="es-US"/>
      </w:rPr>
      <w:instrText xml:space="preserve"> PAGE </w:instrText>
    </w:r>
    <w:r>
      <w:rPr>
        <w:rFonts w:ascii="Helvetica" w:eastAsia="Helvetica" w:hAnsi="Helvetica" w:cs="Helvetica"/>
        <w:sz w:val="20"/>
        <w:szCs w:val="20"/>
        <w:lang w:val="es-US"/>
      </w:rPr>
      <w:fldChar w:fldCharType="separate"/>
    </w:r>
    <w:r w:rsidR="00B8782D">
      <w:rPr>
        <w:rFonts w:ascii="Helvetica" w:eastAsia="Helvetica" w:hAnsi="Helvetica" w:cs="Helvetica"/>
        <w:noProof/>
        <w:sz w:val="20"/>
        <w:szCs w:val="20"/>
        <w:lang w:val="es-US"/>
      </w:rPr>
      <w:t>2</w:t>
    </w:r>
    <w:r>
      <w:rPr>
        <w:rFonts w:ascii="Helvetica" w:eastAsia="Helvetica" w:hAnsi="Helvetica" w:cs="Helvetica"/>
        <w:sz w:val="20"/>
        <w:szCs w:val="20"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DED78" w14:textId="77777777" w:rsidR="006E211F" w:rsidRDefault="006E211F">
      <w:r>
        <w:separator/>
      </w:r>
    </w:p>
  </w:footnote>
  <w:footnote w:type="continuationSeparator" w:id="0">
    <w:p w14:paraId="5A5201E7" w14:textId="77777777" w:rsidR="006E211F" w:rsidRDefault="006E211F">
      <w:r>
        <w:continuationSeparator/>
      </w:r>
    </w:p>
  </w:footnote>
  <w:footnote w:type="continuationNotice" w:id="1">
    <w:p w14:paraId="3F25BAA0" w14:textId="77777777" w:rsidR="006E211F" w:rsidRDefault="006E211F"/>
  </w:footnote>
  <w:footnote w:id="2">
    <w:p w14:paraId="2B3ED53E" w14:textId="77777777" w:rsidR="00F45667" w:rsidRPr="00AB7236" w:rsidRDefault="00F45667" w:rsidP="00F45667">
      <w:pPr>
        <w:pStyle w:val="FootnoteText"/>
        <w:rPr>
          <w:rFonts w:asciiTheme="minorHAnsi" w:hAnsiTheme="minorHAnsi" w:cstheme="minorHAnsi"/>
          <w:spacing w:val="-2"/>
          <w:sz w:val="18"/>
          <w:szCs w:val="18"/>
          <w:lang w:val="es-AR"/>
        </w:rPr>
      </w:pPr>
      <w:r w:rsidRPr="00AB7236">
        <w:rPr>
          <w:rStyle w:val="FootnoteReference"/>
          <w:rFonts w:asciiTheme="minorHAnsi" w:hAnsiTheme="minorHAnsi" w:cstheme="minorHAnsi"/>
          <w:spacing w:val="-2"/>
          <w:sz w:val="18"/>
          <w:szCs w:val="18"/>
          <w:vertAlign w:val="superscript"/>
          <w:lang w:val="es-US"/>
        </w:rPr>
        <w:footnoteRef/>
      </w:r>
      <w:r w:rsidRPr="00255CA5">
        <w:rPr>
          <w:rStyle w:val="FootnoteReference"/>
          <w:spacing w:val="-2"/>
          <w:sz w:val="18"/>
          <w:szCs w:val="18"/>
          <w:lang w:val="es-US"/>
        </w:rPr>
        <w:t xml:space="preserve"> </w:t>
      </w:r>
      <w:r w:rsidRPr="00255CA5">
        <w:rPr>
          <w:rStyle w:val="FootnoteReference"/>
          <w:rFonts w:ascii="Calibri" w:hAnsi="Calibri"/>
          <w:spacing w:val="-2"/>
          <w:sz w:val="18"/>
          <w:szCs w:val="18"/>
          <w:lang w:val="es-US"/>
        </w:rPr>
        <w:t xml:space="preserve">Esta información </w:t>
      </w:r>
      <w:r w:rsidRPr="00255CA5">
        <w:rPr>
          <w:rStyle w:val="FootnoteReference"/>
          <w:rFonts w:ascii="Calibri" w:hAnsi="Calibri" w:cs="Calibri"/>
          <w:spacing w:val="-2"/>
          <w:sz w:val="18"/>
          <w:szCs w:val="18"/>
          <w:lang w:val="es-US"/>
        </w:rPr>
        <w:t>corresponde a una apelación basada en el hecho de que el rechazo de su solicitud sea un resultado directo de que usted u otra persona que figura en la solicitud sean víctimas de violencia doméstica, violencia de pareja, abuso sexual o acoso.</w:t>
      </w:r>
      <w:r w:rsidRPr="00255CA5">
        <w:rPr>
          <w:rFonts w:ascii="Calibri" w:hAnsi="Calibri"/>
          <w:spacing w:val="-2"/>
          <w:sz w:val="18"/>
          <w:szCs w:val="18"/>
          <w:lang w:val="es-US"/>
        </w:rPr>
        <w:t xml:space="preserve"> </w:t>
      </w:r>
      <w:r w:rsidRPr="00255CA5">
        <w:rPr>
          <w:rFonts w:ascii="Calibri" w:hAnsi="Calibri"/>
          <w:spacing w:val="-2"/>
          <w:sz w:val="18"/>
          <w:szCs w:val="18"/>
          <w:vertAlign w:val="superscript"/>
          <w:lang w:val="es-US"/>
        </w:rPr>
        <w:t xml:space="preserve"> </w:t>
      </w:r>
    </w:p>
  </w:footnote>
  <w:footnote w:id="3">
    <w:p w14:paraId="248777A7" w14:textId="77777777" w:rsidR="00F45667" w:rsidRPr="00EC0AFF" w:rsidRDefault="00F45667" w:rsidP="00F45667">
      <w:pPr>
        <w:pStyle w:val="FootnoteText"/>
        <w:rPr>
          <w:rFonts w:asciiTheme="minorHAnsi" w:hAnsiTheme="minorHAnsi" w:cstheme="minorHAnsi"/>
          <w:sz w:val="18"/>
          <w:szCs w:val="18"/>
          <w:lang w:val="es-AR"/>
        </w:rPr>
      </w:pPr>
      <w:r w:rsidRPr="003C55A2">
        <w:rPr>
          <w:rStyle w:val="FootnoteReference"/>
          <w:rFonts w:asciiTheme="minorHAnsi" w:hAnsiTheme="minorHAnsi" w:cstheme="minorHAnsi"/>
          <w:sz w:val="18"/>
          <w:szCs w:val="18"/>
          <w:vertAlign w:val="superscript"/>
          <w:lang w:val="es-US"/>
        </w:rPr>
        <w:footnoteRef/>
      </w:r>
      <w:r w:rsidRPr="003C55A2">
        <w:rPr>
          <w:rFonts w:asciiTheme="minorHAnsi" w:hAnsiTheme="minorHAnsi" w:cstheme="minorHAnsi"/>
          <w:sz w:val="18"/>
          <w:szCs w:val="18"/>
          <w:lang w:val="es-US"/>
        </w:rPr>
        <w:t xml:space="preserve"> Los proveedores de viviendas no pueden discriminar sobre la base de ninguna característica protegida, entre ellas, raza, color, nacionalidad, religión, sexo, estado familiar, discapacidad o edad. Las viviendas asistidas por el Departamento de Vivienda y Desarrollo Urbano (Housing and Urban </w:t>
      </w:r>
      <w:proofErr w:type="spellStart"/>
      <w:r w:rsidRPr="003C55A2">
        <w:rPr>
          <w:rFonts w:asciiTheme="minorHAnsi" w:hAnsiTheme="minorHAnsi" w:cstheme="minorHAnsi"/>
          <w:sz w:val="18"/>
          <w:szCs w:val="18"/>
          <w:lang w:val="es-US"/>
        </w:rPr>
        <w:t>Development</w:t>
      </w:r>
      <w:proofErr w:type="spellEnd"/>
      <w:r w:rsidRPr="003C55A2">
        <w:rPr>
          <w:rFonts w:asciiTheme="minorHAnsi" w:hAnsiTheme="minorHAnsi" w:cstheme="minorHAnsi"/>
          <w:sz w:val="18"/>
          <w:szCs w:val="18"/>
          <w:lang w:val="es-US"/>
        </w:rPr>
        <w:t xml:space="preserve">, HUD), aseguradas por el HUD, financiadas con créditos impositivos para viviendas de bajos ingresos y financiadas por el HPD/la HDC deben estar disponibles para todas las personas que sean elegibles, independientemente de su orientación sexual real o percibida, identidad de género o estado civil.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80C1" w14:textId="784D761A" w:rsidR="000009D8" w:rsidRDefault="00402355">
    <w:pPr>
      <w:pStyle w:val="HeaderFooter"/>
    </w:pPr>
    <w:r>
      <w:rPr>
        <w:noProof/>
      </w:rPr>
      <w:drawing>
        <wp:anchor distT="152400" distB="152400" distL="152400" distR="152400" simplePos="0" relativeHeight="251657216" behindDoc="1" locked="0" layoutInCell="1" allowOverlap="1" wp14:anchorId="0C95CEAE" wp14:editId="649F4453">
          <wp:simplePos x="0" y="0"/>
          <wp:positionH relativeFrom="page">
            <wp:posOffset>6134492</wp:posOffset>
          </wp:positionH>
          <wp:positionV relativeFrom="page">
            <wp:posOffset>9358161</wp:posOffset>
          </wp:positionV>
          <wp:extent cx="243205" cy="274320"/>
          <wp:effectExtent l="0" t="0" r="0" b="0"/>
          <wp:wrapNone/>
          <wp:docPr id="1073741825" name="officeArt object" descr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8" descr="Picture 18"/>
                  <pic:cNvPicPr>
                    <a:picLocks noChangeAspect="1"/>
                  </pic:cNvPicPr>
                </pic:nvPicPr>
                <pic:blipFill>
                  <a:blip r:embed="rId1"/>
                  <a:srcRect l="27511" t="7546" r="24240" b="8302"/>
                  <a:stretch>
                    <a:fillRect/>
                  </a:stretch>
                </pic:blipFill>
                <pic:spPr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2D81"/>
    <w:multiLevelType w:val="hybridMultilevel"/>
    <w:tmpl w:val="08027006"/>
    <w:numStyleLink w:val="ImportedStyle3"/>
  </w:abstractNum>
  <w:abstractNum w:abstractNumId="1" w15:restartNumberingAfterBreak="0">
    <w:nsid w:val="2ECE46C3"/>
    <w:multiLevelType w:val="hybridMultilevel"/>
    <w:tmpl w:val="F254127A"/>
    <w:styleLink w:val="ImportedStyle2"/>
    <w:lvl w:ilvl="0" w:tplc="48AECAA8">
      <w:start w:val="1"/>
      <w:numFmt w:val="bullet"/>
      <w:lvlText w:val="•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84052">
      <w:start w:val="1"/>
      <w:numFmt w:val="bullet"/>
      <w:lvlText w:val="o"/>
      <w:lvlJc w:val="left"/>
      <w:pPr>
        <w:ind w:left="1836" w:hanging="39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1CF59E">
      <w:start w:val="1"/>
      <w:numFmt w:val="bullet"/>
      <w:lvlText w:val="▪"/>
      <w:lvlJc w:val="left"/>
      <w:pPr>
        <w:ind w:left="25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563E0A">
      <w:start w:val="1"/>
      <w:numFmt w:val="bullet"/>
      <w:lvlText w:val="•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1E7B24">
      <w:start w:val="1"/>
      <w:numFmt w:val="bullet"/>
      <w:lvlText w:val="o"/>
      <w:lvlJc w:val="left"/>
      <w:pPr>
        <w:ind w:left="3996" w:hanging="39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B0B70C">
      <w:start w:val="1"/>
      <w:numFmt w:val="bullet"/>
      <w:lvlText w:val="▪"/>
      <w:lvlJc w:val="left"/>
      <w:pPr>
        <w:ind w:left="47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0AFBD0">
      <w:start w:val="1"/>
      <w:numFmt w:val="bullet"/>
      <w:lvlText w:val="•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80D8AC">
      <w:start w:val="1"/>
      <w:numFmt w:val="bullet"/>
      <w:lvlText w:val="o"/>
      <w:lvlJc w:val="left"/>
      <w:pPr>
        <w:ind w:left="6156" w:hanging="39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7ED8A6">
      <w:start w:val="1"/>
      <w:numFmt w:val="bullet"/>
      <w:lvlText w:val="▪"/>
      <w:lvlJc w:val="left"/>
      <w:pPr>
        <w:ind w:left="68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7FE570E"/>
    <w:multiLevelType w:val="hybridMultilevel"/>
    <w:tmpl w:val="08027006"/>
    <w:styleLink w:val="ImportedStyle3"/>
    <w:lvl w:ilvl="0" w:tplc="FC40AF6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FE6048">
      <w:start w:val="1"/>
      <w:numFmt w:val="bullet"/>
      <w:lvlText w:val="o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226B6E">
      <w:start w:val="1"/>
      <w:numFmt w:val="bullet"/>
      <w:lvlText w:val="▪"/>
      <w:lvlJc w:val="left"/>
      <w:pPr>
        <w:ind w:left="25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E69506">
      <w:start w:val="1"/>
      <w:numFmt w:val="bullet"/>
      <w:lvlText w:val="·"/>
      <w:lvlJc w:val="left"/>
      <w:pPr>
        <w:ind w:left="327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36653C">
      <w:start w:val="1"/>
      <w:numFmt w:val="bullet"/>
      <w:lvlText w:val="o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DA72E6">
      <w:start w:val="1"/>
      <w:numFmt w:val="bullet"/>
      <w:lvlText w:val="▪"/>
      <w:lvlJc w:val="left"/>
      <w:pPr>
        <w:ind w:left="47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884BC">
      <w:start w:val="1"/>
      <w:numFmt w:val="bullet"/>
      <w:lvlText w:val="·"/>
      <w:lvlJc w:val="left"/>
      <w:pPr>
        <w:ind w:left="543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221046">
      <w:start w:val="1"/>
      <w:numFmt w:val="bullet"/>
      <w:lvlText w:val="o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DE1E3A">
      <w:start w:val="1"/>
      <w:numFmt w:val="bullet"/>
      <w:lvlText w:val="▪"/>
      <w:lvlJc w:val="left"/>
      <w:pPr>
        <w:ind w:left="68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A5F6172"/>
    <w:multiLevelType w:val="hybridMultilevel"/>
    <w:tmpl w:val="F254127A"/>
    <w:numStyleLink w:val="ImportedStyle2"/>
  </w:abstractNum>
  <w:abstractNum w:abstractNumId="4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D00405"/>
    <w:multiLevelType w:val="hybridMultilevel"/>
    <w:tmpl w:val="BA528F26"/>
    <w:lvl w:ilvl="0" w:tplc="1E48004A">
      <w:start w:val="1"/>
      <w:numFmt w:val="bullet"/>
      <w:lvlText w:val="•"/>
      <w:lvlJc w:val="left"/>
      <w:pPr>
        <w:ind w:left="39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82F254">
      <w:start w:val="1"/>
      <w:numFmt w:val="bullet"/>
      <w:lvlText w:val="•"/>
      <w:lvlJc w:val="left"/>
      <w:pPr>
        <w:ind w:left="111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A8A860">
      <w:start w:val="1"/>
      <w:numFmt w:val="bullet"/>
      <w:lvlText w:val="•"/>
      <w:lvlJc w:val="left"/>
      <w:pPr>
        <w:ind w:left="183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BE16B0">
      <w:start w:val="1"/>
      <w:numFmt w:val="bullet"/>
      <w:lvlText w:val="•"/>
      <w:lvlJc w:val="left"/>
      <w:pPr>
        <w:ind w:left="255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A65B0E">
      <w:start w:val="1"/>
      <w:numFmt w:val="bullet"/>
      <w:lvlText w:val="•"/>
      <w:lvlJc w:val="left"/>
      <w:pPr>
        <w:ind w:left="327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0A1EF2">
      <w:start w:val="1"/>
      <w:numFmt w:val="bullet"/>
      <w:lvlText w:val="•"/>
      <w:lvlJc w:val="left"/>
      <w:pPr>
        <w:ind w:left="399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5A0326">
      <w:start w:val="1"/>
      <w:numFmt w:val="bullet"/>
      <w:lvlText w:val="•"/>
      <w:lvlJc w:val="left"/>
      <w:pPr>
        <w:ind w:left="471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882EC6">
      <w:start w:val="1"/>
      <w:numFmt w:val="bullet"/>
      <w:lvlText w:val="•"/>
      <w:lvlJc w:val="left"/>
      <w:pPr>
        <w:ind w:left="543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24903A">
      <w:start w:val="1"/>
      <w:numFmt w:val="bullet"/>
      <w:lvlText w:val="•"/>
      <w:lvlJc w:val="left"/>
      <w:pPr>
        <w:ind w:left="615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33137118">
    <w:abstractNumId w:val="5"/>
  </w:num>
  <w:num w:numId="2" w16cid:durableId="1892811441">
    <w:abstractNumId w:val="5"/>
    <w:lvlOverride w:ilvl="0">
      <w:lvl w:ilvl="0" w:tplc="1E48004A">
        <w:start w:val="1"/>
        <w:numFmt w:val="bullet"/>
        <w:lvlText w:val="•"/>
        <w:lvlJc w:val="left"/>
        <w:pPr>
          <w:ind w:left="3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382F254">
        <w:start w:val="1"/>
        <w:numFmt w:val="bullet"/>
        <w:lvlText w:val="•"/>
        <w:lvlJc w:val="left"/>
        <w:pPr>
          <w:ind w:left="11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8A8A860">
        <w:start w:val="1"/>
        <w:numFmt w:val="bullet"/>
        <w:lvlText w:val="•"/>
        <w:lvlJc w:val="left"/>
        <w:pPr>
          <w:ind w:left="18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BE16B0">
        <w:start w:val="1"/>
        <w:numFmt w:val="bullet"/>
        <w:lvlText w:val="•"/>
        <w:lvlJc w:val="left"/>
        <w:pPr>
          <w:ind w:left="25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A65B0E">
        <w:start w:val="1"/>
        <w:numFmt w:val="bullet"/>
        <w:lvlText w:val="•"/>
        <w:lvlJc w:val="left"/>
        <w:pPr>
          <w:ind w:left="327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0A1EF2">
        <w:start w:val="1"/>
        <w:numFmt w:val="bullet"/>
        <w:lvlText w:val="•"/>
        <w:lvlJc w:val="left"/>
        <w:pPr>
          <w:ind w:left="39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5A0326">
        <w:start w:val="1"/>
        <w:numFmt w:val="bullet"/>
        <w:lvlText w:val="•"/>
        <w:lvlJc w:val="left"/>
        <w:pPr>
          <w:ind w:left="47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F882EC6">
        <w:start w:val="1"/>
        <w:numFmt w:val="bullet"/>
        <w:lvlText w:val="•"/>
        <w:lvlJc w:val="left"/>
        <w:pPr>
          <w:ind w:left="54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824903A">
        <w:start w:val="1"/>
        <w:numFmt w:val="bullet"/>
        <w:lvlText w:val="•"/>
        <w:lvlJc w:val="left"/>
        <w:pPr>
          <w:ind w:left="61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577201901">
    <w:abstractNumId w:val="1"/>
  </w:num>
  <w:num w:numId="4" w16cid:durableId="2130973333">
    <w:abstractNumId w:val="3"/>
  </w:num>
  <w:num w:numId="5" w16cid:durableId="299654140">
    <w:abstractNumId w:val="2"/>
  </w:num>
  <w:num w:numId="6" w16cid:durableId="629822704">
    <w:abstractNumId w:val="0"/>
  </w:num>
  <w:num w:numId="7" w16cid:durableId="19731683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9D8"/>
    <w:rsid w:val="000009D8"/>
    <w:rsid w:val="000B1B7C"/>
    <w:rsid w:val="00197F9D"/>
    <w:rsid w:val="002416D0"/>
    <w:rsid w:val="0038358E"/>
    <w:rsid w:val="00402355"/>
    <w:rsid w:val="00490D0F"/>
    <w:rsid w:val="00526CDA"/>
    <w:rsid w:val="00581F88"/>
    <w:rsid w:val="006E211F"/>
    <w:rsid w:val="00874BA8"/>
    <w:rsid w:val="009A38ED"/>
    <w:rsid w:val="00A313F9"/>
    <w:rsid w:val="00B8782D"/>
    <w:rsid w:val="00BC74D9"/>
    <w:rsid w:val="00CB3405"/>
    <w:rsid w:val="00D772F3"/>
    <w:rsid w:val="00D84B9C"/>
    <w:rsid w:val="00DE3FB4"/>
    <w:rsid w:val="00F20243"/>
    <w:rsid w:val="00F45667"/>
    <w:rsid w:val="00FF2DA9"/>
    <w:rsid w:val="022AD5E9"/>
    <w:rsid w:val="1B17C4FC"/>
    <w:rsid w:val="1B7C6D35"/>
    <w:rsid w:val="2C7B6715"/>
    <w:rsid w:val="2D571190"/>
    <w:rsid w:val="38774DF7"/>
    <w:rsid w:val="6FF9CFAA"/>
    <w:rsid w:val="7DA1E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6A342CD"/>
  <w15:docId w15:val="{D88CBBA8-F878-8445-84AE-372F528A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widowControl w:val="0"/>
      <w:tabs>
        <w:tab w:val="center" w:pos="4680"/>
        <w:tab w:val="right" w:pos="9360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widowControl w:val="0"/>
      <w:ind w:left="720"/>
    </w:pPr>
    <w:rPr>
      <w:rFonts w:cs="Arial Unicode MS"/>
      <w:color w:val="000000"/>
      <w:sz w:val="22"/>
      <w:szCs w:val="22"/>
      <w:u w:color="000000"/>
    </w:rPr>
  </w:style>
  <w:style w:type="numbering" w:customStyle="1" w:styleId="ImportedStyle2">
    <w:name w:val="Imported Style 2"/>
    <w:pPr>
      <w:numPr>
        <w:numId w:val="3"/>
      </w:numPr>
    </w:pPr>
  </w:style>
  <w:style w:type="paragraph" w:styleId="FootnoteText">
    <w:name w:val="footnote text"/>
    <w:link w:val="FootnoteTextChar"/>
    <w:pPr>
      <w:widowControl w:val="0"/>
    </w:pPr>
    <w:rPr>
      <w:rFonts w:eastAsia="Times New Roman"/>
      <w:color w:val="000000"/>
      <w:u w:color="000000"/>
    </w:rPr>
  </w:style>
  <w:style w:type="numbering" w:customStyle="1" w:styleId="ImportedStyle3">
    <w:name w:val="Imported Style 3"/>
    <w:pPr>
      <w:numPr>
        <w:numId w:val="5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F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FB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13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3F9"/>
    <w:rPr>
      <w:sz w:val="24"/>
      <w:szCs w:val="24"/>
    </w:rPr>
  </w:style>
  <w:style w:type="paragraph" w:styleId="Revision">
    <w:name w:val="Revision"/>
    <w:hidden/>
    <w:uiPriority w:val="99"/>
    <w:semiHidden/>
    <w:rsid w:val="00490D0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FootnoteReference">
    <w:name w:val="footnote reference"/>
    <w:uiPriority w:val="99"/>
    <w:semiHidden/>
    <w:rsid w:val="00F45667"/>
  </w:style>
  <w:style w:type="character" w:customStyle="1" w:styleId="FootnoteTextChar">
    <w:name w:val="Footnote Text Char"/>
    <w:basedOn w:val="DefaultParagraphFont"/>
    <w:link w:val="FootnoteText"/>
    <w:rsid w:val="00F45667"/>
    <w:rPr>
      <w:rFonts w:eastAsia="Times New Roman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margyandthomas2</dc:creator>
  <cp:lastModifiedBy>Max Levine</cp:lastModifiedBy>
  <cp:revision>14</cp:revision>
  <dcterms:created xsi:type="dcterms:W3CDTF">2021-08-19T18:10:00Z</dcterms:created>
  <dcterms:modified xsi:type="dcterms:W3CDTF">2025-01-09T16:17:00Z</dcterms:modified>
</cp:coreProperties>
</file>